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1-12744</w:t>
      </w:r>
    </w:p>
    <w:p>
      <w:pPr>
        <w:spacing w:after="0" w:line="9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5540" w:type="dxa"/>
            <w:vAlign w:val="bottom"/>
          </w:tcPr>
          <w:p>
            <w:pPr>
              <w:jc w:val="center"/>
              <w:ind w:right="790"/>
              <w:spacing w:after="0"/>
              <w:rPr>
                <w:sz w:val="20"/>
                <w:szCs w:val="20"/>
                <w:color w:val="auto"/>
              </w:rPr>
            </w:pPr>
            <w:r>
              <w:rPr>
                <w:rFonts w:ascii="Arial" w:cs="Arial" w:eastAsia="Arial" w:hAnsi="Arial"/>
                <w:sz w:val="18"/>
                <w:szCs w:val="18"/>
                <w:b w:val="1"/>
                <w:bCs w:val="1"/>
                <w:color w:val="auto"/>
                <w:w w:val="94"/>
              </w:rPr>
              <w:t>North Carolina</w:t>
            </w:r>
          </w:p>
        </w:tc>
        <w:tc>
          <w:tcPr>
            <w:tcW w:w="4060" w:type="dxa"/>
            <w:vAlign w:val="bottom"/>
          </w:tcPr>
          <w:p>
            <w:pPr>
              <w:jc w:val="right"/>
              <w:ind w:right="1050"/>
              <w:spacing w:after="0"/>
              <w:rPr>
                <w:sz w:val="20"/>
                <w:szCs w:val="20"/>
                <w:color w:val="auto"/>
              </w:rPr>
            </w:pPr>
            <w:r>
              <w:rPr>
                <w:rFonts w:ascii="Arial" w:cs="Arial" w:eastAsia="Arial" w:hAnsi="Arial"/>
                <w:sz w:val="18"/>
                <w:szCs w:val="18"/>
                <w:b w:val="1"/>
                <w:bCs w:val="1"/>
                <w:color w:val="auto"/>
              </w:rPr>
              <w:t>56-1848578</w:t>
            </w:r>
          </w:p>
        </w:tc>
      </w:tr>
      <w:tr>
        <w:trPr>
          <w:trHeight w:val="234"/>
        </w:trPr>
        <w:tc>
          <w:tcPr>
            <w:tcW w:w="5540" w:type="dxa"/>
            <w:vAlign w:val="bottom"/>
          </w:tcPr>
          <w:p>
            <w:pPr>
              <w:jc w:val="center"/>
              <w:ind w:right="81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4060" w:type="dxa"/>
            <w:vAlign w:val="bottom"/>
          </w:tcPr>
          <w:p>
            <w:pPr>
              <w:jc w:val="center"/>
              <w:ind w:left="830"/>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346"/>
        </w:trPr>
        <w:tc>
          <w:tcPr>
            <w:tcW w:w="554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4123 Parklake Avenue, Raleigh, NC</w:t>
            </w:r>
          </w:p>
        </w:tc>
        <w:tc>
          <w:tcPr>
            <w:tcW w:w="4060" w:type="dxa"/>
            <w:vAlign w:val="bottom"/>
          </w:tcPr>
          <w:p>
            <w:pPr>
              <w:jc w:val="right"/>
              <w:ind w:right="1250"/>
              <w:spacing w:after="0"/>
              <w:rPr>
                <w:sz w:val="20"/>
                <w:szCs w:val="20"/>
                <w:color w:val="auto"/>
              </w:rPr>
            </w:pPr>
            <w:r>
              <w:rPr>
                <w:rFonts w:ascii="Arial" w:cs="Arial" w:eastAsia="Arial" w:hAnsi="Arial"/>
                <w:sz w:val="18"/>
                <w:szCs w:val="18"/>
                <w:b w:val="1"/>
                <w:bCs w:val="1"/>
                <w:color w:val="auto"/>
              </w:rPr>
              <w:t>27612</w:t>
            </w:r>
          </w:p>
        </w:tc>
      </w:tr>
      <w:tr>
        <w:trPr>
          <w:trHeight w:val="234"/>
        </w:trPr>
        <w:tc>
          <w:tcPr>
            <w:tcW w:w="5540" w:type="dxa"/>
            <w:vAlign w:val="bottom"/>
          </w:tcPr>
          <w:p>
            <w:pPr>
              <w:jc w:val="center"/>
              <w:ind w:right="8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060" w:type="dxa"/>
            <w:vAlign w:val="bottom"/>
          </w:tcPr>
          <w:p>
            <w:pPr>
              <w:jc w:val="center"/>
              <w:ind w:left="810"/>
              <w:spacing w:after="0"/>
              <w:rPr>
                <w:sz w:val="20"/>
                <w:szCs w:val="20"/>
                <w:color w:val="auto"/>
              </w:rPr>
            </w:pPr>
            <w:r>
              <w:rPr>
                <w:rFonts w:ascii="Arial" w:cs="Arial" w:eastAsia="Arial" w:hAnsi="Arial"/>
                <w:sz w:val="18"/>
                <w:szCs w:val="18"/>
                <w:b w:val="1"/>
                <w:bCs w:val="1"/>
                <w:color w:val="auto"/>
                <w:w w:val="94"/>
              </w:rPr>
              <w:t>(Zip Code)</w:t>
            </w:r>
          </w:p>
        </w:tc>
      </w:tr>
    </w:tbl>
    <w:p>
      <w:pPr>
        <w:ind w:left="3100"/>
        <w:spacing w:after="0"/>
        <w:rPr>
          <w:sz w:val="20"/>
          <w:szCs w:val="20"/>
          <w:color w:val="auto"/>
        </w:rPr>
      </w:pPr>
      <w:r>
        <w:rPr>
          <w:rFonts w:ascii="Arial" w:cs="Arial" w:eastAsia="Arial" w:hAnsi="Arial"/>
          <w:sz w:val="18"/>
          <w:szCs w:val="18"/>
          <w:b w:val="1"/>
          <w:bCs w:val="1"/>
          <w:color w:val="auto"/>
        </w:rPr>
        <w:t>Registrant’s telephone number, including area code: 919-781-4550</w:t>
      </w:r>
    </w:p>
    <w:p>
      <w:pPr>
        <w:spacing w:after="0" w:line="45"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2710 Wycliff Road, Raleigh, NC 27607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changes since last report)</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69"/>
        </w:trPr>
        <w:tc>
          <w:tcPr>
            <w:tcW w:w="1200" w:type="dxa"/>
            <w:vAlign w:val="bottom"/>
            <w:tcBorders>
              <w:top w:val="single" w:sz="8" w:color="auto"/>
              <w:left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80" w:type="dxa"/>
            <w:vAlign w:val="bottom"/>
            <w:tcBorders>
              <w:top w:val="single" w:sz="8" w:color="auto"/>
              <w:bottom w:val="single" w:sz="8" w:color="auto"/>
            </w:tcBorders>
            <w:gridSpan w:val="3"/>
          </w:tcPr>
          <w:p>
            <w:pPr>
              <w:jc w:val="center"/>
              <w:ind w:right="40"/>
              <w:spacing w:after="0" w:line="169" w:lineRule="exact"/>
              <w:rPr>
                <w:sz w:val="20"/>
                <w:szCs w:val="20"/>
                <w:color w:val="auto"/>
              </w:rPr>
            </w:pPr>
            <w:r>
              <w:rPr>
                <w:rFonts w:ascii="Arial" w:cs="Arial" w:eastAsia="Arial" w:hAnsi="Arial"/>
                <w:sz w:val="18"/>
                <w:szCs w:val="18"/>
                <w:b w:val="1"/>
                <w:bCs w:val="1"/>
                <w:color w:val="auto"/>
                <w:w w:val="87"/>
              </w:rPr>
              <w:t>Name of each exchange on</w:t>
            </w:r>
          </w:p>
        </w:tc>
        <w:tc>
          <w:tcPr>
            <w:tcW w:w="780" w:type="dxa"/>
            <w:vAlign w:val="bottom"/>
            <w:tcBorders>
              <w:top w:val="single" w:sz="8" w:color="auto"/>
              <w:right w:val="single" w:sz="8" w:color="auto"/>
            </w:tcBorders>
          </w:tcPr>
          <w:p>
            <w:pPr>
              <w:spacing w:after="0"/>
              <w:rPr>
                <w:sz w:val="14"/>
                <w:szCs w:val="14"/>
                <w:color w:val="auto"/>
              </w:rPr>
            </w:pPr>
          </w:p>
        </w:tc>
      </w:tr>
      <w:tr>
        <w:trPr>
          <w:trHeight w:val="196"/>
        </w:trPr>
        <w:tc>
          <w:tcPr>
            <w:tcW w:w="3840" w:type="dxa"/>
            <w:vAlign w:val="bottom"/>
            <w:tcBorders>
              <w:left w:val="single" w:sz="8" w:color="auto"/>
              <w:right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89"/>
              </w:rPr>
              <w:t>Title of Each Class</w:t>
            </w:r>
          </w:p>
        </w:tc>
        <w:tc>
          <w:tcPr>
            <w:tcW w:w="1160" w:type="dxa"/>
            <w:vAlign w:val="bottom"/>
          </w:tcPr>
          <w:p>
            <w:pPr>
              <w:spacing w:after="0"/>
              <w:rPr>
                <w:sz w:val="17"/>
                <w:szCs w:val="17"/>
                <w:color w:val="auto"/>
              </w:rPr>
            </w:pPr>
          </w:p>
        </w:tc>
        <w:tc>
          <w:tcPr>
            <w:tcW w:w="2640" w:type="dxa"/>
            <w:vAlign w:val="bottom"/>
            <w:tcBorders>
              <w:right w:val="single" w:sz="8" w:color="auto"/>
            </w:tcBorders>
            <w:gridSpan w:val="2"/>
          </w:tcPr>
          <w:p>
            <w:pPr>
              <w:jc w:val="center"/>
              <w:ind w:right="1200"/>
              <w:spacing w:after="0" w:line="196" w:lineRule="exact"/>
              <w:rPr>
                <w:sz w:val="20"/>
                <w:szCs w:val="20"/>
                <w:color w:val="auto"/>
              </w:rPr>
            </w:pPr>
            <w:r>
              <w:rPr>
                <w:rFonts w:ascii="Arial" w:cs="Arial" w:eastAsia="Arial" w:hAnsi="Arial"/>
                <w:sz w:val="18"/>
                <w:szCs w:val="18"/>
                <w:b w:val="1"/>
                <w:bCs w:val="1"/>
                <w:color w:val="auto"/>
                <w:w w:val="91"/>
              </w:rPr>
              <w:t>Trading Symbol(s)</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40" w:type="dxa"/>
            <w:vAlign w:val="bottom"/>
            <w:tcBorders>
              <w:right w:val="single" w:sz="8" w:color="auto"/>
            </w:tcBorders>
            <w:gridSpan w:val="3"/>
          </w:tcPr>
          <w:p>
            <w:pPr>
              <w:jc w:val="center"/>
              <w:ind w:right="1180"/>
              <w:spacing w:after="0" w:line="196" w:lineRule="exact"/>
              <w:rPr>
                <w:sz w:val="20"/>
                <w:szCs w:val="20"/>
                <w:color w:val="auto"/>
              </w:rPr>
            </w:pPr>
            <w:r>
              <w:rPr>
                <w:rFonts w:ascii="Arial" w:cs="Arial" w:eastAsia="Arial" w:hAnsi="Arial"/>
                <w:sz w:val="18"/>
                <w:szCs w:val="18"/>
                <w:b w:val="1"/>
                <w:bCs w:val="1"/>
                <w:color w:val="auto"/>
                <w:w w:val="88"/>
              </w:rPr>
              <w:t>which registered</w:t>
            </w:r>
          </w:p>
        </w:tc>
      </w:tr>
      <w:tr>
        <w:trPr>
          <w:trHeight w:val="21"/>
        </w:trPr>
        <w:tc>
          <w:tcPr>
            <w:tcW w:w="1200" w:type="dxa"/>
            <w:vAlign w:val="bottom"/>
            <w:tcBorders>
              <w:left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0"/>
              </w:rPr>
              <w:t>Common Stock (Par Value $0.01)</w:t>
            </w:r>
          </w:p>
        </w:tc>
        <w:tc>
          <w:tcPr>
            <w:tcW w:w="1160" w:type="dxa"/>
            <w:vAlign w:val="bottom"/>
            <w:tcBorders>
              <w:bottom w:val="single" w:sz="8" w:color="auto"/>
            </w:tcBorders>
          </w:tcPr>
          <w:p>
            <w:pPr>
              <w:spacing w:after="0"/>
              <w:rPr>
                <w:sz w:val="18"/>
                <w:szCs w:val="18"/>
                <w:color w:val="auto"/>
              </w:rPr>
            </w:pPr>
          </w:p>
        </w:tc>
        <w:tc>
          <w:tcPr>
            <w:tcW w:w="2640" w:type="dxa"/>
            <w:vAlign w:val="bottom"/>
            <w:tcBorders>
              <w:bottom w:val="single" w:sz="8" w:color="auto"/>
              <w:right w:val="single" w:sz="8" w:color="auto"/>
            </w:tcBorders>
            <w:gridSpan w:val="2"/>
          </w:tcPr>
          <w:p>
            <w:pPr>
              <w:jc w:val="center"/>
              <w:ind w:right="1180"/>
              <w:spacing w:after="0"/>
              <w:rPr>
                <w:sz w:val="20"/>
                <w:szCs w:val="20"/>
                <w:color w:val="auto"/>
              </w:rPr>
            </w:pPr>
            <w:r>
              <w:rPr>
                <w:rFonts w:ascii="Arial" w:cs="Arial" w:eastAsia="Arial" w:hAnsi="Arial"/>
                <w:sz w:val="18"/>
                <w:szCs w:val="18"/>
                <w:color w:val="auto"/>
              </w:rPr>
              <w:t>MLM</w:t>
            </w: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40" w:type="dxa"/>
            <w:vAlign w:val="bottom"/>
            <w:tcBorders>
              <w:bottom w:val="single" w:sz="8" w:color="auto"/>
              <w:right w:val="single" w:sz="8" w:color="auto"/>
            </w:tcBorders>
            <w:gridSpan w:val="3"/>
          </w:tcPr>
          <w:p>
            <w:pPr>
              <w:jc w:val="center"/>
              <w:ind w:right="1200"/>
              <w:spacing w:after="0"/>
              <w:rPr>
                <w:sz w:val="20"/>
                <w:szCs w:val="20"/>
                <w:color w:val="auto"/>
              </w:rPr>
            </w:pPr>
            <w:r>
              <w:rPr>
                <w:rFonts w:ascii="Arial" w:cs="Arial" w:eastAsia="Arial" w:hAnsi="Arial"/>
                <w:sz w:val="18"/>
                <w:szCs w:val="18"/>
                <w:color w:val="auto"/>
                <w:w w:val="97"/>
              </w:rPr>
              <w:t>NYSE</w:t>
            </w:r>
          </w:p>
        </w:tc>
      </w:tr>
    </w:tbl>
    <w:p>
      <w:pPr>
        <w:spacing w:after="0" w:line="9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 w:lineRule="exact"/>
        <w:rPr>
          <w:sz w:val="24"/>
          <w:szCs w:val="24"/>
          <w:color w:val="auto"/>
        </w:rPr>
      </w:pPr>
    </w:p>
    <w:p>
      <w:pPr>
        <w:jc w:val="both"/>
        <w:spacing w:after="0" w:line="27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196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196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74" w:lineRule="exact"/>
        <w:rPr>
          <w:sz w:val="24"/>
          <w:szCs w:val="24"/>
          <w:color w:val="auto"/>
        </w:rPr>
      </w:pPr>
    </w:p>
    <w:p>
      <w:pPr>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ind w:left="50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620" w:type="dxa"/>
            <w:vAlign w:val="bottom"/>
            <w:gridSpan w:val="2"/>
          </w:tcPr>
          <w:p>
            <w:pPr>
              <w:jc w:val="right"/>
              <w:ind w:right="493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30"/>
        </w:trPr>
        <w:tc>
          <w:tcPr>
            <w:tcW w:w="11240" w:type="dxa"/>
            <w:vAlign w:val="bottom"/>
            <w:gridSpan w:val="4"/>
          </w:tcPr>
          <w:p>
            <w:pPr>
              <w:jc w:val="right"/>
              <w:ind w:right="2250"/>
              <w:spacing w:after="0"/>
              <w:rPr>
                <w:sz w:val="20"/>
                <w:szCs w:val="20"/>
                <w:color w:val="auto"/>
              </w:rPr>
            </w:pPr>
            <w:r>
              <w:rPr>
                <w:rFonts w:ascii="Arial" w:cs="Arial" w:eastAsia="Arial" w:hAnsi="Arial"/>
                <w:sz w:val="18"/>
                <w:szCs w:val="18"/>
                <w:color w:val="auto"/>
                <w:w w:val="89"/>
              </w:rPr>
              <w:t>Indicate the number of shares outstanding of each of the issuer’s classes of Common Stock, as of the latest practicable date.</w:t>
            </w:r>
          </w:p>
        </w:tc>
      </w:tr>
      <w:tr>
        <w:trPr>
          <w:trHeight w:val="351"/>
        </w:trPr>
        <w:tc>
          <w:tcPr>
            <w:tcW w:w="5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Class</w:t>
            </w:r>
          </w:p>
        </w:tc>
        <w:tc>
          <w:tcPr>
            <w:tcW w:w="120" w:type="dxa"/>
            <w:vAlign w:val="bottom"/>
          </w:tcPr>
          <w:p>
            <w:pPr>
              <w:spacing w:after="0"/>
              <w:rPr>
                <w:sz w:val="24"/>
                <w:szCs w:val="24"/>
                <w:color w:val="auto"/>
              </w:rPr>
            </w:pPr>
          </w:p>
        </w:tc>
        <w:tc>
          <w:tcPr>
            <w:tcW w:w="5500" w:type="dxa"/>
            <w:vAlign w:val="bottom"/>
          </w:tcPr>
          <w:p>
            <w:pPr>
              <w:jc w:val="right"/>
              <w:ind w:right="1410"/>
              <w:spacing w:after="0"/>
              <w:rPr>
                <w:sz w:val="20"/>
                <w:szCs w:val="20"/>
                <w:color w:val="auto"/>
              </w:rPr>
            </w:pPr>
            <w:r>
              <w:rPr>
                <w:rFonts w:ascii="Arial" w:cs="Arial" w:eastAsia="Arial" w:hAnsi="Arial"/>
                <w:sz w:val="18"/>
                <w:szCs w:val="18"/>
                <w:b w:val="1"/>
                <w:bCs w:val="1"/>
                <w:color w:val="auto"/>
              </w:rPr>
              <w:t>Outstanding as of April 30, 2021</w:t>
            </w:r>
          </w:p>
        </w:tc>
      </w:tr>
      <w:tr>
        <w:trPr>
          <w:trHeight w:val="22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00" w:type="dxa"/>
            <w:vAlign w:val="bottom"/>
            <w:tcBorders>
              <w:top w:val="single" w:sz="8" w:color="auto"/>
            </w:tcBorders>
          </w:tcPr>
          <w:p>
            <w:pPr>
              <w:jc w:val="right"/>
              <w:ind w:right="2250"/>
              <w:spacing w:after="0"/>
              <w:rPr>
                <w:sz w:val="20"/>
                <w:szCs w:val="20"/>
                <w:color w:val="auto"/>
              </w:rPr>
            </w:pPr>
            <w:r>
              <w:rPr>
                <w:rFonts w:ascii="Arial" w:cs="Arial" w:eastAsia="Arial" w:hAnsi="Arial"/>
                <w:sz w:val="18"/>
                <w:szCs w:val="18"/>
                <w:color w:val="auto"/>
              </w:rPr>
              <w:t>62,368,903</w:t>
            </w:r>
          </w:p>
        </w:tc>
      </w:tr>
      <w:tr>
        <w:trPr>
          <w:trHeight w:val="161"/>
        </w:trPr>
        <w:tc>
          <w:tcPr>
            <w:tcW w:w="5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365"/>
        </w:trPr>
        <w:tc>
          <w:tcPr>
            <w:tcW w:w="5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680" w:type="dxa"/>
            <w:vAlign w:val="bottom"/>
            <w:gridSpan w:val="17"/>
            <w:vMerge w:val="restart"/>
          </w:tcPr>
          <w:p>
            <w:pPr>
              <w:spacing w:after="0"/>
              <w:rPr>
                <w:sz w:val="20"/>
                <w:szCs w:val="20"/>
                <w:color w:val="auto"/>
              </w:rPr>
            </w:pPr>
            <w:r>
              <w:rPr>
                <w:rFonts w:ascii="Arial" w:cs="Arial" w:eastAsia="Arial" w:hAnsi="Arial"/>
                <w:sz w:val="20"/>
                <w:szCs w:val="20"/>
                <w:color w:val="auto"/>
              </w:rPr>
              <w:t>Part I. Financial Information: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Page</w:t>
            </w:r>
          </w:p>
        </w:tc>
        <w:tc>
          <w:tcPr>
            <w:tcW w:w="0" w:type="dxa"/>
            <w:vAlign w:val="bottom"/>
          </w:tcPr>
          <w:p>
            <w:pPr>
              <w:spacing w:after="0"/>
              <w:rPr>
                <w:sz w:val="1"/>
                <w:szCs w:val="1"/>
                <w:color w:val="auto"/>
              </w:rPr>
            </w:pPr>
          </w:p>
        </w:tc>
      </w:tr>
      <w:tr>
        <w:trPr>
          <w:trHeight w:val="227"/>
        </w:trPr>
        <w:tc>
          <w:tcPr>
            <w:tcW w:w="10680" w:type="dxa"/>
            <w:vAlign w:val="bottom"/>
            <w:gridSpan w:val="17"/>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220" w:type="dxa"/>
            <w:vAlign w:val="bottom"/>
          </w:tcPr>
          <w:p>
            <w:pPr>
              <w:spacing w:after="0"/>
              <w:rPr>
                <w:sz w:val="24"/>
                <w:szCs w:val="24"/>
                <w:color w:val="auto"/>
              </w:rPr>
            </w:pPr>
          </w:p>
        </w:tc>
        <w:tc>
          <w:tcPr>
            <w:tcW w:w="10460" w:type="dxa"/>
            <w:vAlign w:val="bottom"/>
            <w:gridSpan w:val="16"/>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Item 1. Financial Statements</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40" w:type="dxa"/>
            <w:vAlign w:val="bottom"/>
            <w:gridSpan w:val="15"/>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Consolidated Balance Sheets – March 31, 2021 and December 31, 202</w:t>
              </w:r>
              <w:r>
                <w:rPr>
                  <w:rFonts w:ascii="Arial" w:cs="Arial" w:eastAsia="Arial" w:hAnsi="Arial"/>
                  <w:sz w:val="17"/>
                  <w:szCs w:val="17"/>
                  <w:color w:val="0000EE"/>
                </w:rPr>
                <w:t>0</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60" w:type="dxa"/>
            <w:vAlign w:val="bottom"/>
            <w:tcBorders>
              <w:bottom w:val="single" w:sz="8" w:color="0000EE"/>
            </w:tcBorders>
            <w:gridSpan w:val="14"/>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Consolidated Statements of Earnings and Comprehensive Earnings – Three Months Ended March 31, 2021 and 202</w:t>
              </w:r>
              <w:r>
                <w:rPr>
                  <w:rFonts w:ascii="Arial" w:cs="Arial" w:eastAsia="Arial" w:hAnsi="Arial"/>
                  <w:sz w:val="17"/>
                  <w:szCs w:val="17"/>
                  <w:color w:val="0000EE"/>
                  <w:w w:val="88"/>
                </w:rPr>
                <w:t>0</w:t>
              </w:r>
            </w:hyperlink>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20" w:type="dxa"/>
            <w:vAlign w:val="bottom"/>
            <w:tcBorders>
              <w:bottom w:val="single" w:sz="8" w:color="0000EE"/>
            </w:tcBorders>
            <w:gridSpan w:val="12"/>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Consolidated Statements of Cash Flows – Three Months Ended March 31, 2021 and 2020</w:t>
              </w:r>
            </w:hyperlink>
          </w:p>
        </w:tc>
        <w:tc>
          <w:tcPr>
            <w:tcW w:w="312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40" w:type="dxa"/>
            <w:vAlign w:val="bottom"/>
            <w:gridSpan w:val="15"/>
          </w:tcPr>
          <w:p>
            <w:pPr>
              <w:spacing w:after="0"/>
              <w:rPr>
                <w:rFonts w:ascii="Arial" w:cs="Arial" w:eastAsia="Arial" w:hAnsi="Arial"/>
                <w:sz w:val="20"/>
                <w:szCs w:val="20"/>
                <w:color w:val="0000EE"/>
              </w:rPr>
            </w:pPr>
            <w:hyperlink w:anchor="page6">
              <w:r>
                <w:rPr>
                  <w:rFonts w:ascii="Arial" w:cs="Arial" w:eastAsia="Arial" w:hAnsi="Arial"/>
                  <w:sz w:val="20"/>
                  <w:szCs w:val="20"/>
                  <w:color w:val="0000EE"/>
                </w:rPr>
                <w:t>Consolidated Statement of Total Equity – Three Months Ended March 31, 2021 and 2020</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tcBorders>
              <w:top w:val="single" w:sz="8" w:color="0000EE"/>
            </w:tcBorders>
            <w:gridSpan w:val="11"/>
          </w:tcPr>
          <w:p>
            <w:pPr>
              <w:spacing w:after="0"/>
              <w:rPr>
                <w:rFonts w:ascii="Arial" w:cs="Arial" w:eastAsia="Arial" w:hAnsi="Arial"/>
                <w:sz w:val="20"/>
                <w:szCs w:val="20"/>
                <w:color w:val="0000EE"/>
              </w:rPr>
            </w:pPr>
            <w:hyperlink w:anchor="page7">
              <w:r>
                <w:rPr>
                  <w:rFonts w:ascii="Arial" w:cs="Arial" w:eastAsia="Arial" w:hAnsi="Arial"/>
                  <w:sz w:val="20"/>
                  <w:szCs w:val="20"/>
                  <w:color w:val="0000EE"/>
                </w:rPr>
                <w:t>Notes to Consolidated Financial Statements</w:t>
              </w:r>
            </w:hyperlink>
          </w:p>
        </w:tc>
        <w:tc>
          <w:tcPr>
            <w:tcW w:w="316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7720" w:type="dxa"/>
            <w:vAlign w:val="bottom"/>
            <w:tcBorders>
              <w:bottom w:val="single" w:sz="8" w:color="0000EE"/>
            </w:tcBorders>
            <w:gridSpan w:val="14"/>
          </w:tcPr>
          <w:p>
            <w:pPr>
              <w:spacing w:after="0"/>
              <w:rPr>
                <w:rFonts w:ascii="Arial" w:cs="Arial" w:eastAsia="Arial" w:hAnsi="Arial"/>
                <w:sz w:val="20"/>
                <w:szCs w:val="20"/>
                <w:color w:val="0000EE"/>
                <w:w w:val="90"/>
              </w:rPr>
            </w:pPr>
            <w:hyperlink w:anchor="page20">
              <w:r>
                <w:rPr>
                  <w:rFonts w:ascii="Arial" w:cs="Arial" w:eastAsia="Arial" w:hAnsi="Arial"/>
                  <w:sz w:val="20"/>
                  <w:szCs w:val="20"/>
                  <w:color w:val="0000EE"/>
                  <w:w w:val="90"/>
                </w:rPr>
                <w:t>Item 2. Management’s Discussion and Analysis of Financial Condition and Results of Operations</w:t>
              </w:r>
            </w:hyperlink>
          </w:p>
        </w:tc>
        <w:tc>
          <w:tcPr>
            <w:tcW w:w="274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5420" w:type="dxa"/>
            <w:vAlign w:val="bottom"/>
            <w:tcBorders>
              <w:bottom w:val="single" w:sz="8" w:color="0000EE"/>
            </w:tcBorders>
            <w:gridSpan w:val="10"/>
          </w:tcPr>
          <w:p>
            <w:pPr>
              <w:spacing w:after="0"/>
              <w:rPr>
                <w:rFonts w:ascii="Arial" w:cs="Arial" w:eastAsia="Arial" w:hAnsi="Arial"/>
                <w:sz w:val="20"/>
                <w:szCs w:val="20"/>
                <w:color w:val="0000EE"/>
                <w:w w:val="91"/>
              </w:rPr>
            </w:pPr>
            <w:hyperlink w:anchor="page34">
              <w:r>
                <w:rPr>
                  <w:rFonts w:ascii="Arial" w:cs="Arial" w:eastAsia="Arial" w:hAnsi="Arial"/>
                  <w:sz w:val="20"/>
                  <w:szCs w:val="20"/>
                  <w:color w:val="0000EE"/>
                  <w:w w:val="91"/>
                </w:rPr>
                <w:t>Item 3. Quantitative and Qualitative Disclosures About Market Risk</w:t>
              </w:r>
            </w:hyperlink>
          </w:p>
        </w:tc>
        <w:tc>
          <w:tcPr>
            <w:tcW w:w="504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560" w:type="dxa"/>
            <w:vAlign w:val="bottom"/>
            <w:tcBorders>
              <w:bottom w:val="single" w:sz="8" w:color="0000EE"/>
            </w:tcBorders>
            <w:gridSpan w:val="7"/>
          </w:tcPr>
          <w:p>
            <w:pPr>
              <w:spacing w:after="0"/>
              <w:rPr>
                <w:rFonts w:ascii="Arial" w:cs="Arial" w:eastAsia="Arial" w:hAnsi="Arial"/>
                <w:sz w:val="20"/>
                <w:szCs w:val="20"/>
                <w:color w:val="0000EE"/>
                <w:w w:val="88"/>
              </w:rPr>
            </w:pPr>
            <w:hyperlink w:anchor="page35">
              <w:r>
                <w:rPr>
                  <w:rFonts w:ascii="Arial" w:cs="Arial" w:eastAsia="Arial" w:hAnsi="Arial"/>
                  <w:sz w:val="20"/>
                  <w:szCs w:val="20"/>
                  <w:color w:val="0000EE"/>
                  <w:w w:val="88"/>
                </w:rPr>
                <w:t>Item 4. Controls and Procedures</w:t>
              </w:r>
            </w:hyperlink>
          </w:p>
        </w:tc>
        <w:tc>
          <w:tcPr>
            <w:tcW w:w="790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376"/>
        </w:trPr>
        <w:tc>
          <w:tcPr>
            <w:tcW w:w="10680" w:type="dxa"/>
            <w:vAlign w:val="bottom"/>
            <w:gridSpan w:val="17"/>
          </w:tcPr>
          <w:p>
            <w:pPr>
              <w:spacing w:after="0"/>
              <w:rPr>
                <w:sz w:val="20"/>
                <w:szCs w:val="20"/>
                <w:color w:val="auto"/>
              </w:rPr>
            </w:pPr>
            <w:r>
              <w:rPr>
                <w:rFonts w:ascii="Arial" w:cs="Arial" w:eastAsia="Arial" w:hAnsi="Arial"/>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2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20"/>
                <w:szCs w:val="20"/>
                <w:color w:val="0000EE"/>
                <w:w w:val="94"/>
              </w:rPr>
            </w:pPr>
            <w:hyperlink w:anchor="page36">
              <w:r>
                <w:rPr>
                  <w:rFonts w:ascii="Arial" w:cs="Arial" w:eastAsia="Arial" w:hAnsi="Arial"/>
                  <w:sz w:val="20"/>
                  <w:szCs w:val="20"/>
                  <w:color w:val="0000EE"/>
                  <w:w w:val="94"/>
                </w:rPr>
                <w:t>Item 1.</w:t>
              </w:r>
            </w:hyperlink>
          </w:p>
        </w:tc>
        <w:tc>
          <w:tcPr>
            <w:tcW w:w="9840" w:type="dxa"/>
            <w:vAlign w:val="bottom"/>
            <w:gridSpan w:val="14"/>
          </w:tcPr>
          <w:p>
            <w:pPr>
              <w:spacing w:after="0"/>
              <w:rPr>
                <w:rFonts w:ascii="Arial" w:cs="Arial" w:eastAsia="Arial" w:hAnsi="Arial"/>
                <w:sz w:val="20"/>
                <w:szCs w:val="20"/>
                <w:color w:val="0000EE"/>
              </w:rPr>
            </w:pPr>
            <w:hyperlink w:anchor="page36">
              <w:r>
                <w:rPr>
                  <w:rFonts w:ascii="Arial" w:cs="Arial" w:eastAsia="Arial" w:hAnsi="Arial"/>
                  <w:sz w:val="20"/>
                  <w:szCs w:val="20"/>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4"/>
          </w:tcPr>
          <w:p>
            <w:pPr>
              <w:spacing w:after="0"/>
              <w:rPr>
                <w:rFonts w:ascii="Arial" w:cs="Arial" w:eastAsia="Arial" w:hAnsi="Arial"/>
                <w:sz w:val="20"/>
                <w:szCs w:val="20"/>
                <w:color w:val="0000EE"/>
                <w:w w:val="90"/>
              </w:rPr>
            </w:pPr>
            <w:hyperlink w:anchor="page36">
              <w:r>
                <w:rPr>
                  <w:rFonts w:ascii="Arial" w:cs="Arial" w:eastAsia="Arial" w:hAnsi="Arial"/>
                  <w:sz w:val="20"/>
                  <w:szCs w:val="20"/>
                  <w:color w:val="0000EE"/>
                  <w:w w:val="90"/>
                </w:rPr>
                <w:t>Item 1A. Risk Factors</w:t>
              </w:r>
            </w:hyperlink>
          </w:p>
        </w:tc>
        <w:tc>
          <w:tcPr>
            <w:tcW w:w="320" w:type="dxa"/>
            <w:vAlign w:val="bottom"/>
            <w:tcBorders>
              <w:top w:val="single" w:sz="8" w:color="0000EE"/>
            </w:tcBorders>
          </w:tcPr>
          <w:p>
            <w:pPr>
              <w:spacing w:after="0"/>
              <w:rPr>
                <w:sz w:val="24"/>
                <w:szCs w:val="24"/>
                <w:color w:val="auto"/>
              </w:rPr>
            </w:pPr>
          </w:p>
        </w:tc>
        <w:tc>
          <w:tcPr>
            <w:tcW w:w="838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0" w:type="dxa"/>
            <w:vAlign w:val="bottom"/>
            <w:tcBorders>
              <w:bottom w:val="single" w:sz="8" w:color="0000EE"/>
            </w:tcBorders>
            <w:gridSpan w:val="2"/>
          </w:tcPr>
          <w:p>
            <w:pPr>
              <w:spacing w:after="0"/>
              <w:rPr>
                <w:rFonts w:ascii="Arial" w:cs="Arial" w:eastAsia="Arial" w:hAnsi="Arial"/>
                <w:sz w:val="20"/>
                <w:szCs w:val="20"/>
                <w:color w:val="0000EE"/>
                <w:w w:val="94"/>
              </w:rPr>
            </w:pPr>
            <w:hyperlink w:anchor="page36">
              <w:r>
                <w:rPr>
                  <w:rFonts w:ascii="Arial" w:cs="Arial" w:eastAsia="Arial" w:hAnsi="Arial"/>
                  <w:sz w:val="20"/>
                  <w:szCs w:val="20"/>
                  <w:color w:val="0000EE"/>
                  <w:w w:val="94"/>
                </w:rPr>
                <w:t>Item 2.</w:t>
              </w:r>
            </w:hyperlink>
          </w:p>
        </w:tc>
        <w:tc>
          <w:tcPr>
            <w:tcW w:w="4780" w:type="dxa"/>
            <w:vAlign w:val="bottom"/>
            <w:tcBorders>
              <w:bottom w:val="single" w:sz="8" w:color="0000EE"/>
            </w:tcBorders>
            <w:gridSpan w:val="7"/>
          </w:tcPr>
          <w:p>
            <w:pPr>
              <w:spacing w:after="0"/>
              <w:rPr>
                <w:rFonts w:ascii="Arial" w:cs="Arial" w:eastAsia="Arial" w:hAnsi="Arial"/>
                <w:sz w:val="20"/>
                <w:szCs w:val="20"/>
                <w:color w:val="0000EE"/>
                <w:w w:val="88"/>
              </w:rPr>
            </w:pPr>
            <w:hyperlink w:anchor="page36">
              <w:r>
                <w:rPr>
                  <w:rFonts w:ascii="Arial" w:cs="Arial" w:eastAsia="Arial" w:hAnsi="Arial"/>
                  <w:sz w:val="20"/>
                  <w:szCs w:val="20"/>
                  <w:color w:val="0000EE"/>
                  <w:w w:val="88"/>
                </w:rPr>
                <w:t>Unregistered Sales of Equity Securities and Use of Proceeds</w:t>
              </w:r>
            </w:hyperlink>
          </w:p>
        </w:tc>
        <w:tc>
          <w:tcPr>
            <w:tcW w:w="506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0" w:type="dxa"/>
            <w:vAlign w:val="bottom"/>
            <w:tcBorders>
              <w:bottom w:val="single" w:sz="8" w:color="0000EE"/>
            </w:tcBorders>
            <w:gridSpan w:val="2"/>
          </w:tcPr>
          <w:p>
            <w:pPr>
              <w:spacing w:after="0"/>
              <w:rPr>
                <w:rFonts w:ascii="Arial" w:cs="Arial" w:eastAsia="Arial" w:hAnsi="Arial"/>
                <w:sz w:val="20"/>
                <w:szCs w:val="20"/>
                <w:color w:val="0000EE"/>
                <w:w w:val="94"/>
              </w:rPr>
            </w:pPr>
            <w:hyperlink w:anchor="page36">
              <w:r>
                <w:rPr>
                  <w:rFonts w:ascii="Arial" w:cs="Arial" w:eastAsia="Arial" w:hAnsi="Arial"/>
                  <w:sz w:val="20"/>
                  <w:szCs w:val="20"/>
                  <w:color w:val="0000EE"/>
                  <w:w w:val="94"/>
                </w:rPr>
                <w:t>Item 4.</w:t>
              </w:r>
            </w:hyperlink>
          </w:p>
        </w:tc>
        <w:tc>
          <w:tcPr>
            <w:tcW w:w="1940" w:type="dxa"/>
            <w:vAlign w:val="bottom"/>
            <w:tcBorders>
              <w:bottom w:val="single" w:sz="8" w:color="0000EE"/>
            </w:tcBorders>
            <w:gridSpan w:val="5"/>
          </w:tcPr>
          <w:p>
            <w:pPr>
              <w:spacing w:after="0"/>
              <w:rPr>
                <w:rFonts w:ascii="Arial" w:cs="Arial" w:eastAsia="Arial" w:hAnsi="Arial"/>
                <w:sz w:val="20"/>
                <w:szCs w:val="20"/>
                <w:color w:val="0000EE"/>
                <w:w w:val="89"/>
              </w:rPr>
            </w:pPr>
            <w:hyperlink w:anchor="page36">
              <w:r>
                <w:rPr>
                  <w:rFonts w:ascii="Arial" w:cs="Arial" w:eastAsia="Arial" w:hAnsi="Arial"/>
                  <w:sz w:val="20"/>
                  <w:szCs w:val="20"/>
                  <w:color w:val="0000EE"/>
                  <w:w w:val="89"/>
                </w:rPr>
                <w:t>Mine Safety Disclosures</w:t>
              </w:r>
            </w:hyperlink>
          </w:p>
        </w:tc>
        <w:tc>
          <w:tcPr>
            <w:tcW w:w="790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0" w:type="dxa"/>
            <w:vAlign w:val="bottom"/>
            <w:tcBorders>
              <w:bottom w:val="single" w:sz="8" w:color="0000EE"/>
            </w:tcBorders>
            <w:gridSpan w:val="2"/>
          </w:tcPr>
          <w:p>
            <w:pPr>
              <w:spacing w:after="0"/>
              <w:rPr>
                <w:rFonts w:ascii="Arial" w:cs="Arial" w:eastAsia="Arial" w:hAnsi="Arial"/>
                <w:sz w:val="20"/>
                <w:szCs w:val="20"/>
                <w:color w:val="0000EE"/>
                <w:w w:val="94"/>
              </w:rPr>
            </w:pPr>
            <w:hyperlink w:anchor="page37">
              <w:r>
                <w:rPr>
                  <w:rFonts w:ascii="Arial" w:cs="Arial" w:eastAsia="Arial" w:hAnsi="Arial"/>
                  <w:sz w:val="20"/>
                  <w:szCs w:val="20"/>
                  <w:color w:val="0000EE"/>
                  <w:w w:val="94"/>
                </w:rPr>
                <w:t>Item 6.</w:t>
              </w:r>
            </w:hyperlink>
          </w:p>
        </w:tc>
        <w:tc>
          <w:tcPr>
            <w:tcW w:w="660" w:type="dxa"/>
            <w:vAlign w:val="bottom"/>
            <w:tcBorders>
              <w:bottom w:val="single" w:sz="8" w:color="0000EE"/>
            </w:tcBorders>
          </w:tcPr>
          <w:p>
            <w:pPr>
              <w:spacing w:after="0"/>
              <w:rPr>
                <w:rFonts w:ascii="Arial" w:cs="Arial" w:eastAsia="Arial" w:hAnsi="Arial"/>
                <w:sz w:val="20"/>
                <w:szCs w:val="20"/>
                <w:color w:val="0000EE"/>
                <w:w w:val="91"/>
              </w:rPr>
            </w:pPr>
            <w:hyperlink w:anchor="page37">
              <w:r>
                <w:rPr>
                  <w:rFonts w:ascii="Arial" w:cs="Arial" w:eastAsia="Arial" w:hAnsi="Arial"/>
                  <w:sz w:val="20"/>
                  <w:szCs w:val="20"/>
                  <w:color w:val="0000EE"/>
                  <w:w w:val="91"/>
                </w:rPr>
                <w:t>Exhibits</w:t>
              </w:r>
            </w:hyperlink>
          </w:p>
        </w:tc>
        <w:tc>
          <w:tcPr>
            <w:tcW w:w="918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331"/>
        </w:trPr>
        <w:tc>
          <w:tcPr>
            <w:tcW w:w="10680" w:type="dxa"/>
            <w:vAlign w:val="bottom"/>
            <w:gridSpan w:val="17"/>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March 31,</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jc w:val="right"/>
              <w:ind w:right="680"/>
              <w:spacing w:after="0"/>
              <w:rPr>
                <w:sz w:val="20"/>
                <w:szCs w:val="20"/>
                <w:color w:val="auto"/>
              </w:rPr>
            </w:pPr>
            <w:r>
              <w:rPr>
                <w:rFonts w:ascii="Arial" w:cs="Arial" w:eastAsia="Arial" w:hAnsi="Arial"/>
                <w:sz w:val="17"/>
                <w:szCs w:val="17"/>
                <w:color w:val="auto"/>
              </w:rPr>
              <w:t>December 31,</w:t>
            </w:r>
          </w:p>
        </w:tc>
      </w:tr>
      <w:tr>
        <w:trPr>
          <w:trHeight w:val="218"/>
        </w:trPr>
        <w:tc>
          <w:tcPr>
            <w:tcW w:w="5240" w:type="dxa"/>
            <w:vAlign w:val="bottom"/>
          </w:tcPr>
          <w:p>
            <w:pPr>
              <w:spacing w:after="0"/>
              <w:rPr>
                <w:sz w:val="18"/>
                <w:szCs w:val="18"/>
                <w:color w:val="auto"/>
              </w:rPr>
            </w:pPr>
          </w:p>
        </w:tc>
        <w:tc>
          <w:tcPr>
            <w:tcW w:w="2820" w:type="dxa"/>
            <w:vAlign w:val="bottom"/>
            <w:gridSpan w:val="2"/>
          </w:tcPr>
          <w:p>
            <w:pPr>
              <w:jc w:val="right"/>
              <w:ind w:right="140"/>
              <w:spacing w:after="0"/>
              <w:rPr>
                <w:sz w:val="20"/>
                <w:szCs w:val="20"/>
                <w:color w:val="auto"/>
              </w:rPr>
            </w:pPr>
            <w:r>
              <w:rPr>
                <w:rFonts w:ascii="Arial" w:cs="Arial" w:eastAsia="Arial" w:hAnsi="Arial"/>
                <w:sz w:val="17"/>
                <w:szCs w:val="17"/>
                <w:color w:val="auto"/>
              </w:rPr>
              <w:t>2021</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ind w:right="815"/>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8"/>
                <w:szCs w:val="18"/>
                <w:color w:val="auto"/>
              </w:rPr>
            </w:pPr>
          </w:p>
        </w:tc>
      </w:tr>
      <w:tr>
        <w:trPr>
          <w:trHeight w:val="212"/>
        </w:trPr>
        <w:tc>
          <w:tcPr>
            <w:tcW w:w="5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500" w:type="dxa"/>
            <w:vAlign w:val="bottom"/>
            <w:tcBorders>
              <w:top w:val="single" w:sz="8" w:color="auto"/>
            </w:tcBorders>
            <w:gridSpan w:val="6"/>
          </w:tcPr>
          <w:p>
            <w:pPr>
              <w:jc w:val="right"/>
              <w:ind w:right="635"/>
              <w:spacing w:after="0"/>
              <w:rPr>
                <w:sz w:val="20"/>
                <w:szCs w:val="20"/>
                <w:color w:val="auto"/>
              </w:rPr>
            </w:pPr>
            <w:r>
              <w:rPr>
                <w:rFonts w:ascii="Arial" w:cs="Arial" w:eastAsia="Arial" w:hAnsi="Arial"/>
                <w:sz w:val="17"/>
                <w:szCs w:val="17"/>
                <w:i w:val="1"/>
                <w:iCs w:val="1"/>
                <w:color w:val="auto"/>
              </w:rPr>
              <w:t>(Dollars in Millions, Except Par Value Data)</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Current Assets:</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2820" w:type="dxa"/>
            <w:vAlign w:val="bottom"/>
            <w:gridSpan w:val="2"/>
            <w:shd w:val="clear" w:color="auto" w:fill="CFF0FC"/>
          </w:tcPr>
          <w:p>
            <w:pPr>
              <w:jc w:val="right"/>
              <w:ind w:right="12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313.9</w:t>
            </w:r>
          </w:p>
        </w:tc>
        <w:tc>
          <w:tcPr>
            <w:tcW w:w="3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92"/>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207.3</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Restricted cash</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40.9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97.1</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Accounts receivable, net</w:t>
            </w:r>
          </w:p>
        </w:tc>
        <w:tc>
          <w:tcPr>
            <w:tcW w:w="1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563.6</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575.1</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Inventories, net</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690.0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709.0</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Other current assets</w:t>
            </w:r>
          </w:p>
        </w:tc>
        <w:tc>
          <w:tcPr>
            <w:tcW w:w="1400" w:type="dxa"/>
            <w:vAlign w:val="bottom"/>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67.3</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79.8</w:t>
            </w:r>
          </w:p>
        </w:tc>
        <w:tc>
          <w:tcPr>
            <w:tcW w:w="100" w:type="dxa"/>
            <w:vAlign w:val="bottom"/>
            <w:shd w:val="clear" w:color="auto" w:fill="CFF0FC"/>
          </w:tcPr>
          <w:p>
            <w:pPr>
              <w:spacing w:after="0"/>
              <w:rPr>
                <w:sz w:val="18"/>
                <w:szCs w:val="18"/>
                <w:color w:val="auto"/>
              </w:rPr>
            </w:pPr>
          </w:p>
        </w:tc>
      </w:tr>
      <w:tr>
        <w:trPr>
          <w:trHeight w:val="209"/>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Current Assets</w:t>
            </w:r>
          </w:p>
        </w:tc>
        <w:tc>
          <w:tcPr>
            <w:tcW w:w="140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1,675.7</w:t>
            </w:r>
          </w:p>
        </w:tc>
        <w:tc>
          <w:tcPr>
            <w:tcW w:w="3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1,668.3</w:t>
            </w:r>
          </w:p>
        </w:tc>
        <w:tc>
          <w:tcPr>
            <w:tcW w:w="100" w:type="dxa"/>
            <w:vAlign w:val="bottom"/>
            <w:tcBorders>
              <w:bottom w:val="single" w:sz="8" w:color="CFF0FC"/>
            </w:tcBorders>
          </w:tcPr>
          <w:p>
            <w:pPr>
              <w:spacing w:after="0"/>
              <w:rPr>
                <w:sz w:val="18"/>
                <w:szCs w:val="18"/>
                <w:color w:val="auto"/>
              </w:rPr>
            </w:pPr>
          </w:p>
        </w:tc>
      </w:tr>
      <w:tr>
        <w:trPr>
          <w:trHeight w:val="209"/>
        </w:trPr>
        <w:tc>
          <w:tcPr>
            <w:tcW w:w="5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Property, plant and equipment</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9,103.5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8,955.0</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Allowances for depreciation, depletion and amortization</w:t>
            </w:r>
          </w:p>
        </w:tc>
        <w:tc>
          <w:tcPr>
            <w:tcW w:w="1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(3,768.1)</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(3,712.7)</w:t>
            </w:r>
          </w:p>
        </w:tc>
      </w:tr>
      <w:tr>
        <w:trPr>
          <w:trHeight w:val="209"/>
        </w:trPr>
        <w:tc>
          <w:tcPr>
            <w:tcW w:w="5240" w:type="dxa"/>
            <w:vAlign w:val="bottom"/>
          </w:tcPr>
          <w:p>
            <w:pPr>
              <w:spacing w:after="0"/>
              <w:rPr>
                <w:sz w:val="20"/>
                <w:szCs w:val="20"/>
                <w:color w:val="auto"/>
              </w:rPr>
            </w:pPr>
            <w:r>
              <w:rPr>
                <w:rFonts w:ascii="Arial" w:cs="Arial" w:eastAsia="Arial" w:hAnsi="Arial"/>
                <w:sz w:val="17"/>
                <w:szCs w:val="17"/>
                <w:color w:val="auto"/>
              </w:rPr>
              <w:t>Net property, plant and equipment</w:t>
            </w:r>
          </w:p>
        </w:tc>
        <w:tc>
          <w:tcPr>
            <w:tcW w:w="14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5,335.4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5,242.3</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1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2,414.0</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2,414.0</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Other intangibles, net</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504.4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508.0</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right-of-use assets, net</w:t>
            </w:r>
          </w:p>
        </w:tc>
        <w:tc>
          <w:tcPr>
            <w:tcW w:w="1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440.9</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453.0</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noncurrent assets</w:t>
            </w:r>
          </w:p>
        </w:tc>
        <w:tc>
          <w:tcPr>
            <w:tcW w:w="140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288.9</w:t>
            </w:r>
          </w:p>
        </w:tc>
        <w:tc>
          <w:tcPr>
            <w:tcW w:w="3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295.2</w:t>
            </w:r>
          </w:p>
        </w:tc>
        <w:tc>
          <w:tcPr>
            <w:tcW w:w="100" w:type="dxa"/>
            <w:vAlign w:val="bottom"/>
            <w:tcBorders>
              <w:bottom w:val="single" w:sz="8" w:color="CFF0FC"/>
            </w:tcBorders>
          </w:tcPr>
          <w:p>
            <w:pPr>
              <w:spacing w:after="0"/>
              <w:rPr>
                <w:sz w:val="18"/>
                <w:szCs w:val="18"/>
                <w:color w:val="auto"/>
              </w:rPr>
            </w:pPr>
          </w:p>
        </w:tc>
      </w:tr>
      <w:tr>
        <w:trPr>
          <w:trHeight w:val="209"/>
        </w:trPr>
        <w:tc>
          <w:tcPr>
            <w:tcW w:w="5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Total Assets</w:t>
            </w:r>
          </w:p>
        </w:tc>
        <w:tc>
          <w:tcPr>
            <w:tcW w:w="14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26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3"/>
              </w:rPr>
              <w:t>10,659.3</w:t>
            </w:r>
          </w:p>
        </w:tc>
        <w:tc>
          <w:tcPr>
            <w:tcW w:w="3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10,580.8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 AND EQUITY</w:t>
            </w:r>
          </w:p>
        </w:tc>
        <w:tc>
          <w:tcPr>
            <w:tcW w:w="1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Current Liabilities:</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w:t>
            </w:r>
          </w:p>
        </w:tc>
        <w:tc>
          <w:tcPr>
            <w:tcW w:w="2820" w:type="dxa"/>
            <w:vAlign w:val="bottom"/>
            <w:gridSpan w:val="2"/>
            <w:shd w:val="clear" w:color="auto" w:fill="CFF0FC"/>
          </w:tcPr>
          <w:p>
            <w:pPr>
              <w:jc w:val="right"/>
              <w:ind w:right="12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200.0</w:t>
            </w:r>
          </w:p>
        </w:tc>
        <w:tc>
          <w:tcPr>
            <w:tcW w:w="3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92"/>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207.8</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Accrued salaries, benefits and payroll taxes</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35.9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82.6</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Accrued other taxes</w:t>
            </w:r>
          </w:p>
        </w:tc>
        <w:tc>
          <w:tcPr>
            <w:tcW w:w="1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42.1</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45.4</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Accrued interest</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liabilities</w:t>
            </w:r>
          </w:p>
        </w:tc>
        <w:tc>
          <w:tcPr>
            <w:tcW w:w="1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47.2</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48.6</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current liabilities</w:t>
            </w:r>
          </w:p>
        </w:tc>
        <w:tc>
          <w:tcPr>
            <w:tcW w:w="140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93.8</w:t>
            </w:r>
          </w:p>
        </w:tc>
        <w:tc>
          <w:tcPr>
            <w:tcW w:w="3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96.6</w:t>
            </w:r>
          </w:p>
        </w:tc>
        <w:tc>
          <w:tcPr>
            <w:tcW w:w="100" w:type="dxa"/>
            <w:vAlign w:val="bottom"/>
            <w:tcBorders>
              <w:bottom w:val="single" w:sz="8" w:color="CFF0FC"/>
            </w:tcBorders>
          </w:tcPr>
          <w:p>
            <w:pPr>
              <w:spacing w:after="0"/>
              <w:rPr>
                <w:sz w:val="18"/>
                <w:szCs w:val="18"/>
                <w:color w:val="auto"/>
              </w:rPr>
            </w:pPr>
          </w:p>
        </w:tc>
      </w:tr>
      <w:tr>
        <w:trPr>
          <w:trHeight w:val="210"/>
        </w:trPr>
        <w:tc>
          <w:tcPr>
            <w:tcW w:w="52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Total Current Liabilities</w:t>
            </w:r>
          </w:p>
        </w:tc>
        <w:tc>
          <w:tcPr>
            <w:tcW w:w="1400" w:type="dxa"/>
            <w:vAlign w:val="bottom"/>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448.8</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499.3</w:t>
            </w:r>
          </w:p>
        </w:tc>
        <w:tc>
          <w:tcPr>
            <w:tcW w:w="100" w:type="dxa"/>
            <w:vAlign w:val="bottom"/>
            <w:shd w:val="clear" w:color="auto" w:fill="CFF0FC"/>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Long-term debt</w:t>
            </w:r>
          </w:p>
        </w:tc>
        <w:tc>
          <w:tcPr>
            <w:tcW w:w="1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2,626.5</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2,625.8</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Deferred income taxes, net</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777.6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781.5</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Noncurrent operating lease liabilities</w:t>
            </w:r>
          </w:p>
        </w:tc>
        <w:tc>
          <w:tcPr>
            <w:tcW w:w="1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399.1</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410.4</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noncurrent liabilities</w:t>
            </w:r>
          </w:p>
        </w:tc>
        <w:tc>
          <w:tcPr>
            <w:tcW w:w="140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480.6</w:t>
            </w:r>
          </w:p>
        </w:tc>
        <w:tc>
          <w:tcPr>
            <w:tcW w:w="3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370.5</w:t>
            </w:r>
          </w:p>
        </w:tc>
        <w:tc>
          <w:tcPr>
            <w:tcW w:w="100" w:type="dxa"/>
            <w:vAlign w:val="bottom"/>
            <w:tcBorders>
              <w:bottom w:val="single" w:sz="8" w:color="CFF0FC"/>
            </w:tcBorders>
          </w:tcPr>
          <w:p>
            <w:pPr>
              <w:spacing w:after="0"/>
              <w:rPr>
                <w:sz w:val="18"/>
                <w:szCs w:val="18"/>
                <w:color w:val="auto"/>
              </w:rPr>
            </w:pPr>
          </w:p>
        </w:tc>
      </w:tr>
      <w:tr>
        <w:trPr>
          <w:trHeight w:val="210"/>
        </w:trPr>
        <w:tc>
          <w:tcPr>
            <w:tcW w:w="52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Total Liabilities</w:t>
            </w:r>
          </w:p>
        </w:tc>
        <w:tc>
          <w:tcPr>
            <w:tcW w:w="1400" w:type="dxa"/>
            <w:vAlign w:val="bottom"/>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4,732.6</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4,687.5</w:t>
            </w:r>
          </w:p>
        </w:tc>
        <w:tc>
          <w:tcPr>
            <w:tcW w:w="100" w:type="dxa"/>
            <w:vAlign w:val="bottom"/>
            <w:shd w:val="clear" w:color="auto" w:fill="CFF0FC"/>
          </w:tcPr>
          <w:p>
            <w:pPr>
              <w:spacing w:after="0"/>
              <w:rPr>
                <w:sz w:val="18"/>
                <w:szCs w:val="18"/>
                <w:color w:val="auto"/>
              </w:rPr>
            </w:pPr>
          </w:p>
        </w:tc>
      </w:tr>
      <w:tr>
        <w:trPr>
          <w:trHeight w:val="209"/>
        </w:trPr>
        <w:tc>
          <w:tcPr>
            <w:tcW w:w="5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Equity:</w:t>
            </w:r>
          </w:p>
        </w:tc>
        <w:tc>
          <w:tcPr>
            <w:tcW w:w="1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Common stock, par value $0.01 per share</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 par value $0.01 per share</w:t>
            </w:r>
          </w:p>
        </w:tc>
        <w:tc>
          <w:tcPr>
            <w:tcW w:w="1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4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3,441.7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3,440.8</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Accumulated other comprehensive loss</w:t>
            </w:r>
          </w:p>
        </w:tc>
        <w:tc>
          <w:tcPr>
            <w:tcW w:w="1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(155.6)</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(158.4)</w:t>
            </w:r>
          </w:p>
        </w:tc>
      </w:tr>
      <w:tr>
        <w:trPr>
          <w:trHeight w:val="216"/>
        </w:trPr>
        <w:tc>
          <w:tcPr>
            <w:tcW w:w="52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Retained earnings</w:t>
            </w:r>
          </w:p>
        </w:tc>
        <w:tc>
          <w:tcPr>
            <w:tcW w:w="140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2,637.2</w:t>
            </w:r>
          </w:p>
        </w:tc>
        <w:tc>
          <w:tcPr>
            <w:tcW w:w="3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2,607.7</w:t>
            </w:r>
          </w:p>
        </w:tc>
        <w:tc>
          <w:tcPr>
            <w:tcW w:w="100" w:type="dxa"/>
            <w:vAlign w:val="bottom"/>
            <w:tcBorders>
              <w:bottom w:val="single" w:sz="8" w:color="CFF0FC"/>
            </w:tcBorders>
          </w:tcPr>
          <w:p>
            <w:pPr>
              <w:spacing w:after="0"/>
              <w:rPr>
                <w:sz w:val="18"/>
                <w:szCs w:val="18"/>
                <w:color w:val="auto"/>
              </w:rPr>
            </w:pPr>
          </w:p>
        </w:tc>
      </w:tr>
      <w:tr>
        <w:trPr>
          <w:trHeight w:val="209"/>
        </w:trPr>
        <w:tc>
          <w:tcPr>
            <w:tcW w:w="52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Total Shareholders' Equity</w:t>
            </w:r>
          </w:p>
        </w:tc>
        <w:tc>
          <w:tcPr>
            <w:tcW w:w="1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5,923.9</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5,890.7</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Noncontrolling interests</w:t>
            </w:r>
          </w:p>
        </w:tc>
        <w:tc>
          <w:tcPr>
            <w:tcW w:w="140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3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FF0FC"/>
            </w:tcBorders>
          </w:tcPr>
          <w:p>
            <w:pPr>
              <w:spacing w:after="0"/>
              <w:rPr>
                <w:sz w:val="18"/>
                <w:szCs w:val="18"/>
                <w:color w:val="auto"/>
              </w:rPr>
            </w:pPr>
          </w:p>
        </w:tc>
      </w:tr>
      <w:tr>
        <w:trPr>
          <w:trHeight w:val="210"/>
        </w:trPr>
        <w:tc>
          <w:tcPr>
            <w:tcW w:w="52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Total Equity</w:t>
            </w:r>
          </w:p>
        </w:tc>
        <w:tc>
          <w:tcPr>
            <w:tcW w:w="1400" w:type="dxa"/>
            <w:vAlign w:val="bottom"/>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5,926.7</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5,893.3</w:t>
            </w:r>
          </w:p>
        </w:tc>
        <w:tc>
          <w:tcPr>
            <w:tcW w:w="100" w:type="dxa"/>
            <w:vAlign w:val="bottom"/>
            <w:shd w:val="clear" w:color="auto" w:fill="CFF0FC"/>
          </w:tcPr>
          <w:p>
            <w:pPr>
              <w:spacing w:after="0"/>
              <w:rPr>
                <w:sz w:val="18"/>
                <w:szCs w:val="18"/>
                <w:color w:val="auto"/>
              </w:rPr>
            </w:pPr>
          </w:p>
        </w:tc>
      </w:tr>
      <w:tr>
        <w:trPr>
          <w:trHeight w:val="209"/>
        </w:trPr>
        <w:tc>
          <w:tcPr>
            <w:tcW w:w="5240" w:type="dxa"/>
            <w:vAlign w:val="bottom"/>
          </w:tcPr>
          <w:p>
            <w:pPr>
              <w:ind w:left="260"/>
              <w:spacing w:after="0"/>
              <w:rPr>
                <w:sz w:val="20"/>
                <w:szCs w:val="20"/>
                <w:color w:val="auto"/>
              </w:rPr>
            </w:pPr>
            <w:r>
              <w:rPr>
                <w:rFonts w:ascii="Arial" w:cs="Arial" w:eastAsia="Arial" w:hAnsi="Arial"/>
                <w:sz w:val="17"/>
                <w:szCs w:val="17"/>
                <w:color w:val="auto"/>
              </w:rPr>
              <w:t>Total Liabilities and Equity</w:t>
            </w:r>
          </w:p>
        </w:tc>
        <w:tc>
          <w:tcPr>
            <w:tcW w:w="1400" w:type="dxa"/>
            <w:vAlign w:val="bottom"/>
          </w:tcPr>
          <w:p>
            <w:pPr>
              <w:spacing w:after="0"/>
              <w:rPr>
                <w:sz w:val="18"/>
                <w:szCs w:val="18"/>
                <w:color w:val="auto"/>
              </w:rPr>
            </w:pPr>
          </w:p>
        </w:tc>
        <w:tc>
          <w:tcPr>
            <w:tcW w:w="1420" w:type="dxa"/>
            <w:vAlign w:val="bottom"/>
            <w:tcBorders>
              <w:bottom w:val="single" w:sz="8" w:color="auto"/>
            </w:tcBorders>
          </w:tcPr>
          <w:p>
            <w:pPr>
              <w:jc w:val="right"/>
              <w:ind w:right="126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10,659.3</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10,580.8</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3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0" w:type="dxa"/>
            <w:vAlign w:val="bottom"/>
            <w:gridSpan w:val="4"/>
          </w:tcPr>
          <w:p>
            <w:pPr>
              <w:jc w:val="center"/>
              <w:ind w:right="527"/>
              <w:spacing w:after="0"/>
              <w:rPr>
                <w:sz w:val="20"/>
                <w:szCs w:val="20"/>
                <w:color w:val="auto"/>
              </w:rPr>
            </w:pPr>
            <w:r>
              <w:rPr>
                <w:rFonts w:ascii="Arial" w:cs="Arial" w:eastAsia="Arial" w:hAnsi="Arial"/>
                <w:sz w:val="18"/>
                <w:szCs w:val="18"/>
                <w:color w:val="auto"/>
                <w:w w:val="90"/>
              </w:rPr>
              <w:t>Three Months Ended</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center"/>
              <w:ind w:right="507"/>
              <w:spacing w:after="0"/>
              <w:rPr>
                <w:sz w:val="20"/>
                <w:szCs w:val="20"/>
                <w:color w:val="auto"/>
              </w:rPr>
            </w:pPr>
            <w:r>
              <w:rPr>
                <w:rFonts w:ascii="Arial" w:cs="Arial" w:eastAsia="Arial" w:hAnsi="Arial"/>
                <w:sz w:val="18"/>
                <w:szCs w:val="18"/>
                <w:color w:val="auto"/>
                <w:w w:val="92"/>
              </w:rPr>
              <w:t>March 31,</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spacing w:after="0"/>
              <w:rPr>
                <w:sz w:val="19"/>
                <w:szCs w:val="19"/>
                <w:color w:val="auto"/>
              </w:rPr>
            </w:pPr>
          </w:p>
        </w:tc>
        <w:tc>
          <w:tcPr>
            <w:tcW w:w="3260" w:type="dxa"/>
            <w:vAlign w:val="bottom"/>
            <w:gridSpan w:val="5"/>
          </w:tcPr>
          <w:p>
            <w:pPr>
              <w:jc w:val="center"/>
              <w:ind w:left="403"/>
              <w:spacing w:after="0"/>
              <w:rPr>
                <w:sz w:val="20"/>
                <w:szCs w:val="20"/>
                <w:color w:val="auto"/>
              </w:rPr>
            </w:pPr>
            <w:r>
              <w:rPr>
                <w:rFonts w:ascii="Arial" w:cs="Arial" w:eastAsia="Arial" w:hAnsi="Arial"/>
                <w:sz w:val="18"/>
                <w:szCs w:val="18"/>
                <w:i w:val="1"/>
                <w:iCs w:val="1"/>
                <w:color w:val="auto"/>
                <w:w w:val="92"/>
              </w:rPr>
              <w:t>(In Millions, Except Per Share Data)</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Products and services revenues</w:t>
            </w:r>
          </w:p>
        </w:tc>
        <w:tc>
          <w:tcPr>
            <w:tcW w:w="1060" w:type="dxa"/>
            <w:vAlign w:val="bottom"/>
            <w:shd w:val="clear" w:color="auto" w:fill="CFF0FC"/>
          </w:tcPr>
          <w:p>
            <w:pPr>
              <w:jc w:val="right"/>
              <w:ind w:right="90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921.9</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8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891.0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Freight revenues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0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958.2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 - products and services</w:t>
            </w: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747.4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 - freight</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 of Revenues</w:t>
            </w:r>
          </w:p>
        </w:tc>
        <w:tc>
          <w:tcPr>
            <w:tcW w:w="10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815.8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&amp; administrative expenses</w:t>
            </w: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and expenses, net</w:t>
            </w:r>
          </w:p>
        </w:tc>
        <w:tc>
          <w:tcPr>
            <w:tcW w:w="10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260"/>
              <w:spacing w:after="0"/>
              <w:rPr>
                <w:sz w:val="20"/>
                <w:szCs w:val="20"/>
                <w:color w:val="auto"/>
              </w:rPr>
            </w:pPr>
            <w:r>
              <w:rPr>
                <w:rFonts w:ascii="Arial" w:cs="Arial" w:eastAsia="Arial" w:hAnsi="Arial"/>
                <w:sz w:val="18"/>
                <w:szCs w:val="18"/>
                <w:color w:val="auto"/>
              </w:rPr>
              <w:t>Earnings from Operations</w:t>
            </w:r>
          </w:p>
        </w:tc>
        <w:tc>
          <w:tcPr>
            <w:tcW w:w="10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 and expenses, net</w:t>
            </w:r>
          </w:p>
        </w:tc>
        <w:tc>
          <w:tcPr>
            <w:tcW w:w="10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260"/>
              <w:spacing w:after="0"/>
              <w:rPr>
                <w:sz w:val="20"/>
                <w:szCs w:val="20"/>
                <w:color w:val="auto"/>
              </w:rPr>
            </w:pPr>
            <w:r>
              <w:rPr>
                <w:rFonts w:ascii="Arial" w:cs="Arial" w:eastAsia="Arial" w:hAnsi="Arial"/>
                <w:sz w:val="18"/>
                <w:szCs w:val="18"/>
                <w:color w:val="auto"/>
              </w:rPr>
              <w:t>Earnings before income tax expense</w:t>
            </w:r>
          </w:p>
        </w:tc>
        <w:tc>
          <w:tcPr>
            <w:tcW w:w="10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0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Consolidated net earnings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1060" w:type="dxa"/>
            <w:vAlign w:val="bottom"/>
            <w:tcBorders>
              <w:top w:val="single" w:sz="8" w:color="auto"/>
              <w:bottom w:val="single" w:sz="8" w:color="auto"/>
            </w:tcBorders>
          </w:tcPr>
          <w:p>
            <w:pPr>
              <w:jc w:val="right"/>
              <w:ind w:right="90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8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80" w:type="dxa"/>
            <w:vAlign w:val="bottom"/>
          </w:tcPr>
          <w:p>
            <w:pPr>
              <w:spacing w:after="0"/>
              <w:rPr>
                <w:sz w:val="20"/>
                <w:szCs w:val="20"/>
                <w:color w:val="auto"/>
              </w:rPr>
            </w:pPr>
            <w:r>
              <w:rPr>
                <w:rFonts w:ascii="Arial" w:cs="Arial" w:eastAsia="Arial" w:hAnsi="Arial"/>
                <w:sz w:val="18"/>
                <w:szCs w:val="18"/>
                <w:color w:val="auto"/>
              </w:rPr>
              <w:t>Consolidated Comprehensive Earnings: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attributable to Martin Marietta Materials, Inc.</w:t>
            </w:r>
          </w:p>
        </w:tc>
        <w:tc>
          <w:tcPr>
            <w:tcW w:w="1060" w:type="dxa"/>
            <w:vAlign w:val="bottom"/>
            <w:shd w:val="clear" w:color="auto" w:fill="CFF0FC"/>
          </w:tcPr>
          <w:p>
            <w:pPr>
              <w:jc w:val="right"/>
              <w:ind w:right="90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8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Earnings attributable to noncontrolling interests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8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90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108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 Common Share:</w:t>
            </w: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80" w:type="dxa"/>
            <w:vAlign w:val="bottom"/>
          </w:tcPr>
          <w:p>
            <w:pPr>
              <w:ind w:left="500"/>
              <w:spacing w:after="0"/>
              <w:rPr>
                <w:sz w:val="20"/>
                <w:szCs w:val="20"/>
                <w:color w:val="auto"/>
              </w:rPr>
            </w:pPr>
            <w:r>
              <w:rPr>
                <w:rFonts w:ascii="Arial" w:cs="Arial" w:eastAsia="Arial" w:hAnsi="Arial"/>
                <w:sz w:val="18"/>
                <w:szCs w:val="18"/>
                <w:color w:val="auto"/>
              </w:rPr>
              <w:t>Basic attributable to common shareholders</w:t>
            </w:r>
          </w:p>
        </w:tc>
        <w:tc>
          <w:tcPr>
            <w:tcW w:w="1060" w:type="dxa"/>
            <w:vAlign w:val="bottom"/>
          </w:tcPr>
          <w:p>
            <w:pPr>
              <w:jc w:val="right"/>
              <w:ind w:right="90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3"/>
                <w:szCs w:val="23"/>
                <w:color w:val="auto"/>
              </w:rPr>
            </w:pPr>
          </w:p>
        </w:tc>
        <w:tc>
          <w:tcPr>
            <w:tcW w:w="1360" w:type="dxa"/>
            <w:vAlign w:val="bottom"/>
            <w:gridSpan w:val="2"/>
          </w:tcPr>
          <w:p>
            <w:pPr>
              <w:jc w:val="right"/>
              <w:ind w:right="108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3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Diluted attributable to common shareholders</w:t>
            </w:r>
          </w:p>
        </w:tc>
        <w:tc>
          <w:tcPr>
            <w:tcW w:w="1060" w:type="dxa"/>
            <w:vAlign w:val="bottom"/>
            <w:tcBorders>
              <w:top w:val="single" w:sz="8" w:color="auto"/>
              <w:bottom w:val="single" w:sz="8" w:color="auto"/>
            </w:tcBorders>
            <w:shd w:val="clear" w:color="auto" w:fill="CFF0FC"/>
          </w:tcPr>
          <w:p>
            <w:pPr>
              <w:jc w:val="right"/>
              <w:ind w:right="90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ind w:right="108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3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0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4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0"/>
              </w:rPr>
              <w:t>Three Months Ended</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84"/>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4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tcPr>
          <w:p>
            <w:pPr>
              <w:spacing w:after="0"/>
              <w:rPr>
                <w:sz w:val="19"/>
                <w:szCs w:val="19"/>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8"/>
              </w:rPr>
              <w:t>(Dollars in Millions)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earnings</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tcPr>
          <w:p>
            <w:pPr>
              <w:spacing w:after="0"/>
              <w:rPr>
                <w:sz w:val="20"/>
                <w:szCs w:val="20"/>
                <w:color w:val="auto"/>
              </w:rPr>
            </w:pPr>
            <w:r>
              <w:rPr>
                <w:rFonts w:ascii="Arial" w:cs="Arial" w:eastAsia="Arial" w:hAnsi="Arial"/>
                <w:sz w:val="18"/>
                <w:szCs w:val="18"/>
                <w:color w:val="auto"/>
              </w:rPr>
              <w:t>Adjustments to reconcile consolidated net earnings to net cash</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jc w:val="right"/>
              <w:ind w:right="4970"/>
              <w:spacing w:after="0"/>
              <w:rPr>
                <w:sz w:val="20"/>
                <w:szCs w:val="20"/>
                <w:color w:val="auto"/>
              </w:rPr>
            </w:pPr>
            <w:r>
              <w:rPr>
                <w:rFonts w:ascii="Arial" w:cs="Arial" w:eastAsia="Arial" w:hAnsi="Arial"/>
                <w:sz w:val="18"/>
                <w:szCs w:val="18"/>
                <w:color w:val="auto"/>
                <w:w w:val="97"/>
              </w:rPr>
              <w:t>provided by operating activities:</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depletion and amortization</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divestitures and sales of assets</w:t>
            </w:r>
          </w:p>
        </w:tc>
        <w:tc>
          <w:tcPr>
            <w:tcW w:w="10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w:t>
            </w:r>
          </w:p>
        </w:tc>
        <w:tc>
          <w:tcPr>
            <w:tcW w:w="6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items, net</w:t>
            </w:r>
          </w:p>
        </w:tc>
        <w:tc>
          <w:tcPr>
            <w:tcW w:w="10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w:t>
            </w:r>
          </w:p>
        </w:tc>
        <w:tc>
          <w:tcPr>
            <w:tcW w:w="6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5"/>
        </w:trPr>
        <w:tc>
          <w:tcPr>
            <w:tcW w:w="75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 net of effects of</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jc w:val="right"/>
              <w:ind w:right="4970"/>
              <w:spacing w:after="0"/>
              <w:rPr>
                <w:sz w:val="20"/>
                <w:szCs w:val="20"/>
                <w:color w:val="auto"/>
              </w:rPr>
            </w:pPr>
            <w:r>
              <w:rPr>
                <w:rFonts w:ascii="Arial" w:cs="Arial" w:eastAsia="Arial" w:hAnsi="Arial"/>
                <w:sz w:val="18"/>
                <w:szCs w:val="18"/>
                <w:color w:val="auto"/>
              </w:rPr>
              <w:t>acquisitions and divestitures:</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500"/>
              <w:spacing w:after="0"/>
              <w:rPr>
                <w:sz w:val="20"/>
                <w:szCs w:val="20"/>
                <w:color w:val="auto"/>
              </w:rPr>
            </w:pPr>
            <w:r>
              <w:rPr>
                <w:rFonts w:ascii="Arial" w:cs="Arial" w:eastAsia="Arial" w:hAnsi="Arial"/>
                <w:sz w:val="18"/>
                <w:szCs w:val="18"/>
                <w:color w:val="auto"/>
              </w:rPr>
              <w:t>Other assets and liabilities, net</w:t>
            </w:r>
          </w:p>
        </w:tc>
        <w:tc>
          <w:tcPr>
            <w:tcW w:w="10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6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191.9</w:t>
            </w:r>
          </w:p>
        </w:tc>
        <w:tc>
          <w:tcPr>
            <w:tcW w:w="2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10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(110.3)</w:t>
            </w:r>
          </w:p>
        </w:tc>
        <w:tc>
          <w:tcPr>
            <w:tcW w:w="6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divestitures and sales of assets</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Investments in life insurance contracts, net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investing activities, net</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Net Cash Used for Investing Activities</w:t>
            </w: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(88.3)</w:t>
            </w:r>
          </w:p>
        </w:tc>
        <w:tc>
          <w:tcPr>
            <w:tcW w:w="6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Borrowings of debt</w:t>
            </w:r>
          </w:p>
        </w:tc>
        <w:tc>
          <w:tcPr>
            <w:tcW w:w="10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Repayments of debt</w:t>
            </w:r>
          </w:p>
        </w:tc>
        <w:tc>
          <w:tcPr>
            <w:tcW w:w="102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financing leases</w:t>
            </w:r>
          </w:p>
        </w:tc>
        <w:tc>
          <w:tcPr>
            <w:tcW w:w="10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w:t>
            </w:r>
          </w:p>
        </w:tc>
        <w:tc>
          <w:tcPr>
            <w:tcW w:w="6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Debt issuance costs</w:t>
            </w:r>
          </w:p>
        </w:tc>
        <w:tc>
          <w:tcPr>
            <w:tcW w:w="102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Repurchases of common stock</w:t>
            </w:r>
          </w:p>
        </w:tc>
        <w:tc>
          <w:tcPr>
            <w:tcW w:w="10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0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6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Shares withheld for employees' income tax obligations</w:t>
            </w:r>
          </w:p>
        </w:tc>
        <w:tc>
          <w:tcPr>
            <w:tcW w:w="10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6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for) Provided by Financing Activities</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50.4</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304.4</w:t>
            </w:r>
          </w:p>
        </w:tc>
        <w:tc>
          <w:tcPr>
            <w:tcW w:w="2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5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TOTAL EQUITY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8"/>
                <w:szCs w:val="18"/>
                <w:color w:val="auto"/>
                <w:w w:val="98"/>
              </w:rPr>
              <w:t>Additional</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Other</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Per</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Common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Paid-</w:t>
            </w:r>
          </w:p>
        </w:tc>
        <w:tc>
          <w:tcPr>
            <w:tcW w:w="1400" w:type="dxa"/>
            <w:vAlign w:val="bottom"/>
            <w:gridSpan w:val="4"/>
          </w:tcPr>
          <w:p>
            <w:pPr>
              <w:ind w:left="60"/>
              <w:spacing w:after="0"/>
              <w:rPr>
                <w:sz w:val="20"/>
                <w:szCs w:val="20"/>
                <w:color w:val="auto"/>
              </w:rPr>
            </w:pPr>
            <w:r>
              <w:rPr>
                <w:rFonts w:ascii="Arial" w:cs="Arial" w:eastAsia="Arial" w:hAnsi="Arial"/>
                <w:sz w:val="18"/>
                <w:szCs w:val="18"/>
                <w:color w:val="auto"/>
              </w:rPr>
              <w:t>Comprehensive</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Retained</w:t>
            </w:r>
          </w:p>
        </w:tc>
        <w:tc>
          <w:tcPr>
            <w:tcW w:w="1180" w:type="dxa"/>
            <w:vAlign w:val="bottom"/>
            <w:gridSpan w:val="4"/>
          </w:tcPr>
          <w:p>
            <w:pPr>
              <w:ind w:left="80"/>
              <w:spacing w:after="0"/>
              <w:rPr>
                <w:sz w:val="20"/>
                <w:szCs w:val="20"/>
                <w:color w:val="auto"/>
              </w:rPr>
            </w:pPr>
            <w:r>
              <w:rPr>
                <w:rFonts w:ascii="Arial" w:cs="Arial" w:eastAsia="Arial" w:hAnsi="Arial"/>
                <w:sz w:val="18"/>
                <w:szCs w:val="18"/>
                <w:color w:val="auto"/>
                <w:w w:val="97"/>
              </w:rPr>
              <w:t>Shareholders'</w:t>
            </w:r>
          </w:p>
        </w:tc>
        <w:tc>
          <w:tcPr>
            <w:tcW w:w="1600" w:type="dxa"/>
            <w:vAlign w:val="bottom"/>
            <w:gridSpan w:val="4"/>
          </w:tcPr>
          <w:p>
            <w:pPr>
              <w:ind w:left="80"/>
              <w:spacing w:after="0"/>
              <w:rPr>
                <w:sz w:val="20"/>
                <w:szCs w:val="20"/>
                <w:color w:val="auto"/>
              </w:rPr>
            </w:pPr>
            <w:r>
              <w:rPr>
                <w:rFonts w:ascii="Arial" w:cs="Arial" w:eastAsia="Arial" w:hAnsi="Arial"/>
                <w:sz w:val="18"/>
                <w:szCs w:val="18"/>
                <w:color w:val="auto"/>
              </w:rPr>
              <w:t>Noncontrolling</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Total</w:t>
            </w: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Share Data)</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7"/>
              </w:rPr>
              <w:t>Stock</w:t>
            </w:r>
          </w:p>
        </w:tc>
        <w:tc>
          <w:tcPr>
            <w:tcW w:w="200" w:type="dxa"/>
            <w:vAlign w:val="bottom"/>
          </w:tcPr>
          <w:p>
            <w:pPr>
              <w:spacing w:after="0"/>
              <w:rPr>
                <w:sz w:val="20"/>
                <w:szCs w:val="20"/>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in Capital</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Loss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Earnings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Interests</w:t>
            </w:r>
          </w:p>
        </w:tc>
        <w:tc>
          <w:tcPr>
            <w:tcW w:w="14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Equity</w:t>
            </w:r>
          </w:p>
        </w:tc>
      </w:tr>
      <w:tr>
        <w:trPr>
          <w:trHeight w:val="209"/>
        </w:trPr>
        <w:tc>
          <w:tcPr>
            <w:tcW w:w="2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w:t>
            </w:r>
          </w:p>
        </w:tc>
        <w:tc>
          <w:tcPr>
            <w:tcW w:w="2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3,418.8</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(145.8)</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$ 2,077.2</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5,350.8</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5,353.3</w:t>
            </w:r>
          </w:p>
        </w:tc>
        <w:tc>
          <w:tcPr>
            <w:tcW w:w="80" w:type="dxa"/>
            <w:vAlign w:val="bottom"/>
            <w:shd w:val="clear" w:color="auto" w:fill="CFF0FC"/>
          </w:tcPr>
          <w:p>
            <w:pPr>
              <w:spacing w:after="0"/>
              <w:rPr>
                <w:sz w:val="20"/>
                <w:szCs w:val="20"/>
                <w:color w:val="auto"/>
              </w:rPr>
            </w:pPr>
          </w:p>
        </w:tc>
      </w:tr>
      <w:tr>
        <w:trPr>
          <w:trHeight w:val="229"/>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Consolidated net earnings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9"/>
                <w:szCs w:val="19"/>
                <w:color w:val="auto"/>
              </w:rPr>
            </w:pP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20"/>
                <w:szCs w:val="20"/>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Dividends declared ($0.55</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per share)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(34.5)</w:t>
            </w: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Issuances of common</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for stock</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award plans</w:t>
            </w: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FF0FC"/>
          </w:tcPr>
          <w:p>
            <w:pPr>
              <w:spacing w:after="0"/>
              <w:rPr>
                <w:sz w:val="20"/>
                <w:szCs w:val="20"/>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Shares withheld for</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employees'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380" w:type="dxa"/>
            <w:vAlign w:val="bottom"/>
            <w:gridSpan w:val="2"/>
          </w:tcPr>
          <w:p>
            <w:pPr>
              <w:ind w:left="380"/>
              <w:spacing w:after="0"/>
              <w:rPr>
                <w:sz w:val="20"/>
                <w:szCs w:val="20"/>
                <w:color w:val="auto"/>
              </w:rPr>
            </w:pPr>
            <w:r>
              <w:rPr>
                <w:rFonts w:ascii="Arial" w:cs="Arial" w:eastAsia="Arial" w:hAnsi="Arial"/>
                <w:sz w:val="18"/>
                <w:szCs w:val="18"/>
                <w:color w:val="auto"/>
              </w:rPr>
              <w:t>income tax obligations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Repurchases of common</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(50.0)</w:t>
            </w: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Stock-based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compensation expense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0"/>
                <w:szCs w:val="20"/>
                <w:color w:val="auto"/>
              </w:rPr>
            </w:pPr>
          </w:p>
        </w:tc>
      </w:tr>
      <w:tr>
        <w:trPr>
          <w:trHeight w:val="223"/>
        </w:trPr>
        <w:tc>
          <w:tcPr>
            <w:tcW w:w="23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3,423.1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$ 2,018.6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5,299.4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at December 31,</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3,440.8</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(158.4)</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$ 2,607.7</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5,890.7</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5,893.3</w:t>
            </w:r>
          </w:p>
        </w:tc>
        <w:tc>
          <w:tcPr>
            <w:tcW w:w="80" w:type="dxa"/>
            <w:vAlign w:val="bottom"/>
            <w:shd w:val="clear" w:color="auto" w:fill="CFF0FC"/>
          </w:tcPr>
          <w:p>
            <w:pPr>
              <w:spacing w:after="0"/>
              <w:rPr>
                <w:sz w:val="20"/>
                <w:szCs w:val="20"/>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Consolidated net earnings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65.5</w:t>
            </w:r>
          </w:p>
        </w:tc>
        <w:tc>
          <w:tcPr>
            <w:tcW w:w="80" w:type="dxa"/>
            <w:vAlign w:val="bottom"/>
          </w:tcPr>
          <w:p>
            <w:pPr>
              <w:spacing w:after="0"/>
              <w:rPr>
                <w:sz w:val="19"/>
                <w:szCs w:val="19"/>
                <w:color w:val="auto"/>
              </w:rPr>
            </w:pP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20"/>
                <w:szCs w:val="20"/>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Dividends declared ($0.57</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per share)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Issuances of common</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for stock</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award plans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20"/>
                <w:szCs w:val="20"/>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Shares withheld for</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employees'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380" w:type="dxa"/>
            <w:vAlign w:val="bottom"/>
            <w:gridSpan w:val="2"/>
          </w:tcPr>
          <w:p>
            <w:pPr>
              <w:ind w:left="380"/>
              <w:spacing w:after="0"/>
              <w:rPr>
                <w:sz w:val="20"/>
                <w:szCs w:val="20"/>
                <w:color w:val="auto"/>
              </w:rPr>
            </w:pPr>
            <w:r>
              <w:rPr>
                <w:rFonts w:ascii="Arial" w:cs="Arial" w:eastAsia="Arial" w:hAnsi="Arial"/>
                <w:sz w:val="18"/>
                <w:szCs w:val="18"/>
                <w:color w:val="auto"/>
              </w:rPr>
              <w:t>income tax obligations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expense</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FF0FC"/>
          </w:tcPr>
          <w:p>
            <w:pPr>
              <w:spacing w:after="0"/>
              <w:rPr>
                <w:sz w:val="20"/>
                <w:szCs w:val="20"/>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Balance at March 31, 2021</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$ 2,637.2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5,926.7</w:t>
            </w:r>
          </w:p>
        </w:tc>
        <w:tc>
          <w:tcPr>
            <w:tcW w:w="80" w:type="dxa"/>
            <w:vAlign w:val="bottom"/>
          </w:tcPr>
          <w:p>
            <w:pPr>
              <w:spacing w:after="0"/>
              <w:rPr>
                <w:sz w:val="19"/>
                <w:szCs w:val="19"/>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6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2021</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15" w:lineRule="exact"/>
        <w:rPr>
          <w:sz w:val="20"/>
          <w:szCs w:val="20"/>
          <w:color w:val="auto"/>
        </w:rPr>
      </w:pPr>
    </w:p>
    <w:p>
      <w:pPr>
        <w:ind w:left="380" w:right="8260" w:hanging="372"/>
        <w:spacing w:after="0" w:line="355" w:lineRule="auto"/>
        <w:tabs>
          <w:tab w:leader="none" w:pos="37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Organization</w:t>
      </w:r>
    </w:p>
    <w:p>
      <w:pPr>
        <w:jc w:val="both"/>
        <w:ind w:left="38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Martin Marietta Materials, Inc. (the Company or Martin Marietta) is a natural resource-based building materials company. The Company supplies aggregates (crushed stone, sand and gravel) through its network of 290 quarries, mines and distribution yards in 26 states, Canada and The Bahamas. In the southwestern and western United States, Martin Marietta also provides cement and downstream products and services, namely, ready mixed concrete, asphalt and paving,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88"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The Company’s Building Materials business includes two reportable segments: the East Group and the West Group.</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Reportable Segments</w:t>
            </w:r>
          </w:p>
        </w:tc>
        <w:tc>
          <w:tcPr>
            <w:tcW w:w="390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20"/>
                <w:szCs w:val="20"/>
                <w:color w:val="auto"/>
                <w:w w:val="88"/>
              </w:rPr>
              <w:t>East Group</w:t>
            </w: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West Group</w:t>
            </w:r>
          </w:p>
        </w:tc>
      </w:tr>
      <w:tr>
        <w:trPr>
          <w:trHeight w:val="206"/>
        </w:trPr>
        <w:tc>
          <w:tcPr>
            <w:tcW w:w="31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Operating Locations</w:t>
            </w:r>
          </w:p>
        </w:tc>
        <w:tc>
          <w:tcPr>
            <w:tcW w:w="180" w:type="dxa"/>
            <w:vAlign w:val="bottom"/>
          </w:tcPr>
          <w:p>
            <w:pPr>
              <w:spacing w:after="0"/>
              <w:rPr>
                <w:sz w:val="17"/>
                <w:szCs w:val="17"/>
                <w:color w:val="auto"/>
              </w:rPr>
            </w:pPr>
          </w:p>
        </w:tc>
        <w:tc>
          <w:tcPr>
            <w:tcW w:w="372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Alabama, Florida, Georgia, Indiana,</w:t>
            </w:r>
          </w:p>
        </w:tc>
        <w:tc>
          <w:tcPr>
            <w:tcW w:w="180" w:type="dxa"/>
            <w:vAlign w:val="bottom"/>
          </w:tcPr>
          <w:p>
            <w:pPr>
              <w:spacing w:after="0"/>
              <w:rPr>
                <w:sz w:val="17"/>
                <w:szCs w:val="17"/>
                <w:color w:val="auto"/>
              </w:rPr>
            </w:pPr>
          </w:p>
        </w:tc>
        <w:tc>
          <w:tcPr>
            <w:tcW w:w="40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Arkansas, Colorado, Louisiana, western</w:t>
            </w:r>
          </w:p>
        </w:tc>
      </w:tr>
      <w:tr>
        <w:trPr>
          <w:trHeight w:val="229"/>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20"/>
                <w:szCs w:val="20"/>
                <w:color w:val="auto"/>
                <w:w w:val="90"/>
              </w:rPr>
              <w:t>Iowa, Kansas, Kentucky, Maryland,</w:t>
            </w:r>
          </w:p>
        </w:tc>
        <w:tc>
          <w:tcPr>
            <w:tcW w:w="4000" w:type="dxa"/>
            <w:vAlign w:val="bottom"/>
          </w:tcPr>
          <w:p>
            <w:pPr>
              <w:jc w:val="center"/>
              <w:spacing w:after="0"/>
              <w:rPr>
                <w:sz w:val="20"/>
                <w:szCs w:val="20"/>
                <w:color w:val="auto"/>
              </w:rPr>
            </w:pPr>
            <w:r>
              <w:rPr>
                <w:rFonts w:ascii="Arial" w:cs="Arial" w:eastAsia="Arial" w:hAnsi="Arial"/>
                <w:sz w:val="20"/>
                <w:szCs w:val="20"/>
                <w:color w:val="auto"/>
                <w:w w:val="88"/>
              </w:rPr>
              <w:t>Nebraska, Oklahoma, Texas, Utah,</w:t>
            </w:r>
          </w:p>
        </w:tc>
      </w:tr>
      <w:tr>
        <w:trPr>
          <w:trHeight w:val="230"/>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Minnesota, Missouri, eastern</w:t>
            </w:r>
          </w:p>
        </w:tc>
        <w:tc>
          <w:tcPr>
            <w:tcW w:w="4000" w:type="dxa"/>
            <w:vAlign w:val="bottom"/>
          </w:tcPr>
          <w:p>
            <w:pPr>
              <w:jc w:val="center"/>
              <w:spacing w:after="0"/>
              <w:rPr>
                <w:sz w:val="20"/>
                <w:szCs w:val="20"/>
                <w:color w:val="auto"/>
              </w:rPr>
            </w:pPr>
            <w:r>
              <w:rPr>
                <w:rFonts w:ascii="Arial" w:cs="Arial" w:eastAsia="Arial" w:hAnsi="Arial"/>
                <w:sz w:val="20"/>
                <w:szCs w:val="20"/>
                <w:color w:val="auto"/>
                <w:w w:val="90"/>
              </w:rPr>
              <w:t>Washington and Wyoming</w:t>
            </w:r>
          </w:p>
        </w:tc>
      </w:tr>
      <w:tr>
        <w:trPr>
          <w:trHeight w:val="229"/>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160"/>
              <w:spacing w:after="0"/>
              <w:rPr>
                <w:sz w:val="20"/>
                <w:szCs w:val="20"/>
                <w:color w:val="auto"/>
              </w:rPr>
            </w:pPr>
            <w:r>
              <w:rPr>
                <w:rFonts w:ascii="Arial" w:cs="Arial" w:eastAsia="Arial" w:hAnsi="Arial"/>
                <w:sz w:val="20"/>
                <w:szCs w:val="20"/>
                <w:color w:val="auto"/>
                <w:w w:val="90"/>
              </w:rPr>
              <w:t>Nebraska, North Carolina, Ohio,</w:t>
            </w:r>
          </w:p>
        </w:tc>
        <w:tc>
          <w:tcPr>
            <w:tcW w:w="4000" w:type="dxa"/>
            <w:vAlign w:val="bottom"/>
          </w:tcPr>
          <w:p>
            <w:pPr>
              <w:spacing w:after="0"/>
              <w:rPr>
                <w:sz w:val="19"/>
                <w:szCs w:val="19"/>
                <w:color w:val="auto"/>
              </w:rPr>
            </w:pPr>
          </w:p>
        </w:tc>
      </w:tr>
      <w:tr>
        <w:trPr>
          <w:trHeight w:val="230"/>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Pennsylvania, South Carolina,</w:t>
            </w:r>
          </w:p>
        </w:tc>
        <w:tc>
          <w:tcPr>
            <w:tcW w:w="4000" w:type="dxa"/>
            <w:vAlign w:val="bottom"/>
          </w:tcPr>
          <w:p>
            <w:pPr>
              <w:spacing w:after="0"/>
              <w:rPr>
                <w:sz w:val="19"/>
                <w:szCs w:val="19"/>
                <w:color w:val="auto"/>
              </w:rPr>
            </w:pPr>
          </w:p>
        </w:tc>
      </w:tr>
      <w:tr>
        <w:trPr>
          <w:trHeight w:val="230"/>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Tennessee, Virginia, West Virginia,</w:t>
            </w:r>
          </w:p>
        </w:tc>
        <w:tc>
          <w:tcPr>
            <w:tcW w:w="4000" w:type="dxa"/>
            <w:vAlign w:val="bottom"/>
          </w:tcPr>
          <w:p>
            <w:pPr>
              <w:spacing w:after="0"/>
              <w:rPr>
                <w:sz w:val="19"/>
                <w:szCs w:val="19"/>
                <w:color w:val="auto"/>
              </w:rPr>
            </w:pPr>
          </w:p>
        </w:tc>
      </w:tr>
      <w:tr>
        <w:trPr>
          <w:trHeight w:val="250"/>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00" w:type="dxa"/>
            <w:vAlign w:val="bottom"/>
            <w:gridSpan w:val="2"/>
          </w:tcPr>
          <w:p>
            <w:pPr>
              <w:jc w:val="center"/>
              <w:ind w:right="180"/>
              <w:spacing w:after="0"/>
              <w:rPr>
                <w:sz w:val="20"/>
                <w:szCs w:val="20"/>
                <w:color w:val="auto"/>
              </w:rPr>
            </w:pPr>
            <w:r>
              <w:rPr>
                <w:rFonts w:ascii="Arial" w:cs="Arial" w:eastAsia="Arial" w:hAnsi="Arial"/>
                <w:sz w:val="20"/>
                <w:szCs w:val="20"/>
                <w:color w:val="auto"/>
                <w:w w:val="88"/>
              </w:rPr>
              <w:t>Nova Scotia and The Bahamas</w:t>
            </w:r>
          </w:p>
        </w:tc>
        <w:tc>
          <w:tcPr>
            <w:tcW w:w="4000" w:type="dxa"/>
            <w:vAlign w:val="bottom"/>
          </w:tcPr>
          <w:p>
            <w:pPr>
              <w:spacing w:after="0"/>
              <w:rPr>
                <w:sz w:val="21"/>
                <w:szCs w:val="21"/>
                <w:color w:val="auto"/>
              </w:rPr>
            </w:pPr>
          </w:p>
        </w:tc>
      </w:tr>
      <w:tr>
        <w:trPr>
          <w:trHeight w:val="438"/>
        </w:trPr>
        <w:tc>
          <w:tcPr>
            <w:tcW w:w="3340" w:type="dxa"/>
            <w:vAlign w:val="bottom"/>
            <w:gridSpan w:val="2"/>
          </w:tcPr>
          <w:p>
            <w:pPr>
              <w:spacing w:after="0"/>
              <w:rPr>
                <w:sz w:val="20"/>
                <w:szCs w:val="20"/>
                <w:color w:val="auto"/>
              </w:rPr>
            </w:pPr>
            <w:r>
              <w:rPr>
                <w:rFonts w:ascii="Arial" w:cs="Arial" w:eastAsia="Arial" w:hAnsi="Arial"/>
                <w:sz w:val="20"/>
                <w:szCs w:val="20"/>
                <w:color w:val="auto"/>
              </w:rPr>
              <w:t>Product Lines</w:t>
            </w:r>
          </w:p>
        </w:tc>
        <w:tc>
          <w:tcPr>
            <w:tcW w:w="3900" w:type="dxa"/>
            <w:vAlign w:val="bottom"/>
            <w:gridSpan w:val="2"/>
          </w:tcPr>
          <w:p>
            <w:pPr>
              <w:jc w:val="center"/>
              <w:ind w:right="160"/>
              <w:spacing w:after="0"/>
              <w:rPr>
                <w:sz w:val="20"/>
                <w:szCs w:val="20"/>
                <w:color w:val="auto"/>
              </w:rPr>
            </w:pPr>
            <w:r>
              <w:rPr>
                <w:rFonts w:ascii="Arial" w:cs="Arial" w:eastAsia="Arial" w:hAnsi="Arial"/>
                <w:sz w:val="20"/>
                <w:szCs w:val="20"/>
                <w:color w:val="auto"/>
                <w:w w:val="87"/>
              </w:rPr>
              <w:t>Aggregates</w:t>
            </w:r>
          </w:p>
        </w:tc>
        <w:tc>
          <w:tcPr>
            <w:tcW w:w="4000" w:type="dxa"/>
            <w:vAlign w:val="bottom"/>
          </w:tcPr>
          <w:p>
            <w:pPr>
              <w:jc w:val="center"/>
              <w:spacing w:after="0"/>
              <w:rPr>
                <w:sz w:val="20"/>
                <w:szCs w:val="20"/>
                <w:color w:val="auto"/>
              </w:rPr>
            </w:pPr>
            <w:r>
              <w:rPr>
                <w:rFonts w:ascii="Arial" w:cs="Arial" w:eastAsia="Arial" w:hAnsi="Arial"/>
                <w:sz w:val="20"/>
                <w:szCs w:val="20"/>
                <w:color w:val="auto"/>
                <w:w w:val="89"/>
              </w:rPr>
              <w:t>Aggregates, Cement, Ready Mixed Concrete,</w:t>
            </w:r>
          </w:p>
        </w:tc>
      </w:tr>
      <w:tr>
        <w:trPr>
          <w:trHeight w:val="250"/>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Pr>
          <w:p>
            <w:pPr>
              <w:jc w:val="center"/>
              <w:spacing w:after="0"/>
              <w:rPr>
                <w:sz w:val="20"/>
                <w:szCs w:val="20"/>
                <w:color w:val="auto"/>
              </w:rPr>
            </w:pPr>
            <w:r>
              <w:rPr>
                <w:rFonts w:ascii="Arial" w:cs="Arial" w:eastAsia="Arial" w:hAnsi="Arial"/>
                <w:sz w:val="20"/>
                <w:szCs w:val="20"/>
                <w:color w:val="auto"/>
                <w:w w:val="90"/>
              </w:rPr>
              <w:t>Asphalt and Paving</w:t>
            </w:r>
          </w:p>
        </w:tc>
      </w:tr>
    </w:tbl>
    <w:p>
      <w:pPr>
        <w:spacing w:after="0" w:line="195" w:lineRule="exact"/>
        <w:rPr>
          <w:sz w:val="20"/>
          <w:szCs w:val="20"/>
          <w:color w:val="auto"/>
        </w:rPr>
      </w:pPr>
    </w:p>
    <w:p>
      <w:pPr>
        <w:jc w:val="both"/>
        <w:ind w:left="380"/>
        <w:spacing w:after="0" w:line="291" w:lineRule="auto"/>
        <w:rPr>
          <w:sz w:val="20"/>
          <w:szCs w:val="20"/>
          <w:color w:val="auto"/>
        </w:rPr>
      </w:pPr>
      <w:r>
        <w:rPr>
          <w:rFonts w:ascii="Arial" w:cs="Arial" w:eastAsia="Arial" w:hAnsi="Arial"/>
          <w:sz w:val="18"/>
          <w:szCs w:val="18"/>
          <w:color w:val="auto"/>
        </w:rPr>
        <w:t>The Company’s Magnesia Specialties business, which represents a separate reportable segment, has manufacturing facilities in Manistee, Michigan, and Woodville, Ohio. The Magnesia Specialties business produces magnesia-based chemicals products used in industrial, agricultural and environmental applications, and dolomitic lime sold primarily to customers in the steel and mining industries.</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Basis of Presentation</w:t>
      </w:r>
    </w:p>
    <w:p>
      <w:pPr>
        <w:spacing w:after="0" w:line="114" w:lineRule="exact"/>
        <w:rPr>
          <w:sz w:val="20"/>
          <w:szCs w:val="20"/>
          <w:color w:val="auto"/>
        </w:rPr>
      </w:pPr>
    </w:p>
    <w:p>
      <w:pPr>
        <w:jc w:val="both"/>
        <w:ind w:left="380"/>
        <w:spacing w:after="0" w:line="255" w:lineRule="auto"/>
        <w:rPr>
          <w:sz w:val="20"/>
          <w:szCs w:val="20"/>
          <w:color w:val="auto"/>
        </w:rPr>
      </w:pPr>
      <w:r>
        <w:rPr>
          <w:rFonts w:ascii="Arial" w:cs="Arial" w:eastAsia="Arial" w:hAnsi="Arial"/>
          <w:sz w:val="19"/>
          <w:szCs w:val="19"/>
          <w:color w:val="auto"/>
        </w:rPr>
        <w:t>The accompanying unaudited consolidated financial statements of the Company have been prepared in accordance with accounting principles generally accepted in the United States (U.S. GAAP) for interim financial information and with the instructions to the Quarterly Report on Form 10-Q and in Article 10 of Regulation S-X. The Company has continued to follow the accounting policies set forth in the audited consolidated financial statements and related notes thereto included in the Company’s Annual Report on Form 10-K for the year ended December 31, 2020.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 months ended March 31, 2021 are not necessarily indicative of the results expected for other interim periods or the full year. The consolidated balance sheet at December 31, 2020 has been derived from the audited consolidated financial statements at that date but does not include all of the information and notes required by U.S. GAAP for complete financial statements. These consolidated financial statements should be read in conjunction with the audited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7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consolidated financial statements and notes thereto included in the Company’s Annual Report on Form 10-K for the year ended December 31, 2020.</w:t>
      </w:r>
    </w:p>
    <w:p>
      <w:pPr>
        <w:spacing w:after="0" w:line="69"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The preparation of the Company’s consolidated financial statements requires management to make certain estimates and assumptions about future events. As future events and their effects cannot be fully determined with precision, actual results could differ significantly from estimates. Changes in estimates are reflected in the consolidated financial statements in the period in which the change in estimate occurs.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Reclassifications</w:t>
      </w:r>
    </w:p>
    <w:p>
      <w:pPr>
        <w:spacing w:after="0" w:line="114" w:lineRule="exact"/>
        <w:rPr>
          <w:sz w:val="20"/>
          <w:szCs w:val="20"/>
          <w:color w:val="auto"/>
        </w:rPr>
      </w:pPr>
    </w:p>
    <w:p>
      <w:pPr>
        <w:jc w:val="both"/>
        <w:ind w:left="380"/>
        <w:spacing w:after="0" w:line="269" w:lineRule="auto"/>
        <w:rPr>
          <w:sz w:val="20"/>
          <w:szCs w:val="20"/>
          <w:color w:val="auto"/>
        </w:rPr>
      </w:pPr>
      <w:r>
        <w:rPr>
          <w:rFonts w:ascii="Arial" w:cs="Arial" w:eastAsia="Arial" w:hAnsi="Arial"/>
          <w:sz w:val="19"/>
          <w:szCs w:val="19"/>
          <w:color w:val="auto"/>
        </w:rPr>
        <w:t xml:space="preserve">As of January 1, 2021, the Company reclassified accrued income taxes from </w:t>
      </w:r>
      <w:r>
        <w:rPr>
          <w:rFonts w:ascii="Arial" w:cs="Arial" w:eastAsia="Arial" w:hAnsi="Arial"/>
          <w:sz w:val="19"/>
          <w:szCs w:val="19"/>
          <w:i w:val="1"/>
          <w:iCs w:val="1"/>
          <w:color w:val="auto"/>
        </w:rPr>
        <w:t>Other current liabilities</w:t>
      </w:r>
      <w:r>
        <w:rPr>
          <w:rFonts w:ascii="Arial" w:cs="Arial" w:eastAsia="Arial" w:hAnsi="Arial"/>
          <w:sz w:val="19"/>
          <w:szCs w:val="19"/>
          <w:color w:val="auto"/>
        </w:rPr>
        <w:t xml:space="preserve"> to </w:t>
      </w:r>
      <w:r>
        <w:rPr>
          <w:rFonts w:ascii="Arial" w:cs="Arial" w:eastAsia="Arial" w:hAnsi="Arial"/>
          <w:sz w:val="19"/>
          <w:szCs w:val="19"/>
          <w:i w:val="1"/>
          <w:iCs w:val="1"/>
          <w:color w:val="auto"/>
        </w:rPr>
        <w:t>Accrued other taxes</w:t>
      </w:r>
      <w:r>
        <w:rPr>
          <w:rFonts w:ascii="Arial" w:cs="Arial" w:eastAsia="Arial" w:hAnsi="Arial"/>
          <w:sz w:val="19"/>
          <w:szCs w:val="19"/>
          <w:color w:val="auto"/>
        </w:rPr>
        <w:t xml:space="preserve"> on the Company’s consolidated balance sheet. Prior-year information has been reclassified to conform to current year presentation. The reclassification had no impact on the Company’s previously reported results of operations, financial position or cash flows.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Consolidated Comprehensive Earnings/Loss and Accumulated Other Comprehensive Loss</w:t>
      </w:r>
    </w:p>
    <w:p>
      <w:pPr>
        <w:spacing w:after="0" w:line="114" w:lineRule="exact"/>
        <w:rPr>
          <w:sz w:val="20"/>
          <w:szCs w:val="20"/>
          <w:color w:val="auto"/>
        </w:rPr>
      </w:pPr>
    </w:p>
    <w:p>
      <w:pPr>
        <w:jc w:val="both"/>
        <w:ind w:left="380" w:right="20"/>
        <w:spacing w:after="0" w:line="269" w:lineRule="auto"/>
        <w:rPr>
          <w:sz w:val="20"/>
          <w:szCs w:val="20"/>
          <w:color w:val="auto"/>
        </w:rPr>
      </w:pPr>
      <w:r>
        <w:rPr>
          <w:rFonts w:ascii="Arial" w:cs="Arial" w:eastAsia="Arial" w:hAnsi="Arial"/>
          <w:sz w:val="19"/>
          <w:szCs w:val="19"/>
          <w:color w:val="auto"/>
        </w:rPr>
        <w:t>Consolidated comprehensive earnings/loss and accumulated other comprehensive loss consist of consolidated net earnings or loss; adjustments for the funded status of pension and postretirement benefit plans; and foreign currency translation adjustments; and are presented in the Company’s consolidated statements of earnings and comprehensive earnings.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Comprehensive earnings attributable to Martin Marietta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00" w:type="dxa"/>
            <w:vAlign w:val="bottom"/>
            <w:gridSpan w:val="3"/>
          </w:tcPr>
          <w:p>
            <w:pPr>
              <w:jc w:val="center"/>
              <w:spacing w:after="0"/>
              <w:rPr>
                <w:sz w:val="20"/>
                <w:szCs w:val="20"/>
                <w:color w:val="auto"/>
              </w:rPr>
            </w:pPr>
            <w:r>
              <w:rPr>
                <w:rFonts w:ascii="Arial" w:cs="Arial" w:eastAsia="Arial" w:hAnsi="Arial"/>
                <w:sz w:val="20"/>
                <w:szCs w:val="20"/>
                <w:color w:val="auto"/>
                <w:w w:val="88"/>
              </w:rPr>
              <w:t>Three Months Ended</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6"/>
        </w:trPr>
        <w:tc>
          <w:tcPr>
            <w:tcW w:w="58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2"/>
              </w:rPr>
              <w:t>March 31,</w:t>
            </w: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6"/>
        </w:trPr>
        <w:tc>
          <w:tcPr>
            <w:tcW w:w="5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w w:val="85"/>
              </w:rPr>
              <w:t>2020</w:t>
            </w:r>
          </w:p>
        </w:tc>
        <w:tc>
          <w:tcPr>
            <w:tcW w:w="120" w:type="dxa"/>
            <w:vAlign w:val="bottom"/>
          </w:tcPr>
          <w:p>
            <w:pPr>
              <w:spacing w:after="0"/>
              <w:rPr>
                <w:sz w:val="20"/>
                <w:szCs w:val="20"/>
                <w:color w:val="auto"/>
              </w:rPr>
            </w:pPr>
          </w:p>
        </w:tc>
      </w:tr>
      <w:tr>
        <w:trPr>
          <w:trHeight w:val="236"/>
        </w:trPr>
        <w:tc>
          <w:tcPr>
            <w:tcW w:w="5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00" w:type="dxa"/>
            <w:vAlign w:val="bottom"/>
            <w:gridSpan w:val="3"/>
          </w:tcPr>
          <w:p>
            <w:pPr>
              <w:jc w:val="center"/>
              <w:spacing w:after="0"/>
              <w:rPr>
                <w:sz w:val="20"/>
                <w:szCs w:val="20"/>
                <w:color w:val="auto"/>
              </w:rPr>
            </w:pPr>
            <w:r>
              <w:rPr>
                <w:rFonts w:ascii="Arial" w:cs="Arial" w:eastAsia="Arial" w:hAnsi="Arial"/>
                <w:sz w:val="20"/>
                <w:szCs w:val="20"/>
                <w:i w:val="1"/>
                <w:iCs w:val="1"/>
                <w:color w:val="auto"/>
                <w:w w:val="97"/>
              </w:rPr>
              <w:t>(Dollars in Millions)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82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w:t>
            </w:r>
          </w:p>
        </w:tc>
        <w:tc>
          <w:tcPr>
            <w:tcW w:w="2480" w:type="dxa"/>
            <w:vAlign w:val="bottom"/>
            <w:gridSpan w:val="2"/>
            <w:shd w:val="clear" w:color="auto" w:fill="CFF0FC"/>
          </w:tcPr>
          <w:p>
            <w:pPr>
              <w:jc w:val="right"/>
              <w:ind w:right="901"/>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65.3</w:t>
            </w:r>
          </w:p>
        </w:tc>
        <w:tc>
          <w:tcPr>
            <w:tcW w:w="980" w:type="dxa"/>
            <w:vAlign w:val="bottom"/>
            <w:gridSpan w:val="2"/>
            <w:shd w:val="clear" w:color="auto" w:fill="CFF0FC"/>
          </w:tcPr>
          <w:p>
            <w:pPr>
              <w:jc w:val="right"/>
              <w:ind w:right="501"/>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25.9</w:t>
            </w:r>
          </w:p>
        </w:tc>
        <w:tc>
          <w:tcPr>
            <w:tcW w:w="120" w:type="dxa"/>
            <w:vAlign w:val="bottom"/>
            <w:shd w:val="clear" w:color="auto" w:fill="CFF0FC"/>
          </w:tcPr>
          <w:p>
            <w:pPr>
              <w:spacing w:after="0"/>
              <w:rPr>
                <w:sz w:val="21"/>
                <w:szCs w:val="21"/>
                <w:color w:val="auto"/>
              </w:rPr>
            </w:pPr>
          </w:p>
        </w:tc>
      </w:tr>
      <w:tr>
        <w:trPr>
          <w:trHeight w:val="243"/>
        </w:trPr>
        <w:tc>
          <w:tcPr>
            <w:tcW w:w="58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1380" w:type="dxa"/>
            <w:vAlign w:val="bottom"/>
            <w:tcBorders>
              <w:bottom w:val="single" w:sz="8" w:color="CFF0FC"/>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w:t>
            </w:r>
          </w:p>
        </w:tc>
        <w:tc>
          <w:tcPr>
            <w:tcW w:w="280" w:type="dxa"/>
            <w:vAlign w:val="bottom"/>
            <w:tcBorders>
              <w:bottom w:val="single" w:sz="8" w:color="CFF0FC"/>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w:t>
            </w:r>
          </w:p>
        </w:tc>
        <w:tc>
          <w:tcPr>
            <w:tcW w:w="120" w:type="dxa"/>
            <w:vAlign w:val="bottom"/>
            <w:tcBorders>
              <w:bottom w:val="single" w:sz="8" w:color="CFF0FC"/>
            </w:tcBorders>
          </w:tcPr>
          <w:p>
            <w:pPr>
              <w:spacing w:after="0"/>
              <w:rPr>
                <w:sz w:val="21"/>
                <w:szCs w:val="21"/>
                <w:color w:val="auto"/>
              </w:rPr>
            </w:pPr>
          </w:p>
        </w:tc>
      </w:tr>
      <w:tr>
        <w:trPr>
          <w:trHeight w:val="237"/>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Comprehensive earnings attributable to Martin Marietta</w:t>
            </w:r>
          </w:p>
        </w:tc>
        <w:tc>
          <w:tcPr>
            <w:tcW w:w="13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901"/>
              <w:spacing w:after="0"/>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68.1</w:t>
            </w:r>
          </w:p>
        </w:tc>
        <w:tc>
          <w:tcPr>
            <w:tcW w:w="28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50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26.3</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43"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accumulated other comprehensive loss, net of tax,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80"/>
              <w:spacing w:after="0"/>
              <w:rPr>
                <w:sz w:val="20"/>
                <w:szCs w:val="20"/>
                <w:color w:val="auto"/>
              </w:rPr>
            </w:pPr>
            <w:r>
              <w:rPr>
                <w:rFonts w:ascii="Arial" w:cs="Arial" w:eastAsia="Arial" w:hAnsi="Arial"/>
                <w:sz w:val="19"/>
                <w:szCs w:val="19"/>
                <w:i w:val="1"/>
                <w:iCs w:val="1"/>
                <w:color w:val="auto"/>
              </w:rPr>
              <w:t>(Dollars in Millions)</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ind w:right="46"/>
              <w:spacing w:after="0" w:line="201" w:lineRule="exact"/>
              <w:rPr>
                <w:sz w:val="20"/>
                <w:szCs w:val="20"/>
                <w:color w:val="auto"/>
              </w:rPr>
            </w:pPr>
            <w:r>
              <w:rPr>
                <w:rFonts w:ascii="Arial" w:cs="Arial" w:eastAsia="Arial" w:hAnsi="Arial"/>
                <w:sz w:val="19"/>
                <w:szCs w:val="19"/>
                <w:color w:val="auto"/>
                <w:w w:val="91"/>
              </w:rPr>
              <w:t>Accumulated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00"/>
              <w:spacing w:after="0" w:line="216" w:lineRule="exact"/>
              <w:rPr>
                <w:sz w:val="20"/>
                <w:szCs w:val="20"/>
                <w:color w:val="auto"/>
              </w:rPr>
            </w:pPr>
            <w:r>
              <w:rPr>
                <w:rFonts w:ascii="Arial" w:cs="Arial" w:eastAsia="Arial" w:hAnsi="Arial"/>
                <w:sz w:val="19"/>
                <w:szCs w:val="19"/>
                <w:color w:val="auto"/>
                <w:w w:val="87"/>
              </w:rPr>
              <w:t>Pension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line="216" w:lineRule="exact"/>
              <w:rPr>
                <w:sz w:val="20"/>
                <w:szCs w:val="20"/>
                <w:color w:val="auto"/>
              </w:rPr>
            </w:pPr>
            <w:r>
              <w:rPr>
                <w:rFonts w:ascii="Arial" w:cs="Arial" w:eastAsia="Arial" w:hAnsi="Arial"/>
                <w:sz w:val="19"/>
                <w:szCs w:val="19"/>
                <w:color w:val="auto"/>
                <w:w w:val="92"/>
              </w:rPr>
              <w:t>Other</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00"/>
              <w:spacing w:after="0" w:line="216" w:lineRule="exact"/>
              <w:rPr>
                <w:sz w:val="20"/>
                <w:szCs w:val="20"/>
                <w:color w:val="auto"/>
              </w:rPr>
            </w:pPr>
            <w:r>
              <w:rPr>
                <w:rFonts w:ascii="Arial" w:cs="Arial" w:eastAsia="Arial" w:hAnsi="Arial"/>
                <w:sz w:val="19"/>
                <w:szCs w:val="19"/>
                <w:color w:val="auto"/>
                <w:w w:val="90"/>
              </w:rPr>
              <w:t>Postretirement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line="216" w:lineRule="exact"/>
              <w:rPr>
                <w:sz w:val="20"/>
                <w:szCs w:val="20"/>
                <w:color w:val="auto"/>
              </w:rPr>
            </w:pPr>
            <w:r>
              <w:rPr>
                <w:rFonts w:ascii="Arial" w:cs="Arial" w:eastAsia="Arial" w:hAnsi="Arial"/>
                <w:sz w:val="19"/>
                <w:szCs w:val="19"/>
                <w:color w:val="auto"/>
                <w:w w:val="90"/>
              </w:rPr>
              <w:t>Comprehensive</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9"/>
                <w:szCs w:val="19"/>
                <w:color w:val="auto"/>
                <w:w w:val="89"/>
              </w:rPr>
              <w:t>Benefit Plans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9"/>
                <w:szCs w:val="19"/>
                <w:color w:val="auto"/>
                <w:w w:val="91"/>
              </w:rPr>
              <w:t>Foreign Currency</w:t>
            </w:r>
          </w:p>
        </w:tc>
        <w:tc>
          <w:tcPr>
            <w:tcW w:w="12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9"/>
                <w:szCs w:val="19"/>
                <w:color w:val="auto"/>
                <w:w w:val="89"/>
              </w:rPr>
              <w:t>Loss</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900" w:type="dxa"/>
            <w:vAlign w:val="bottom"/>
            <w:tcBorders>
              <w:top w:val="single" w:sz="8" w:color="auto"/>
              <w:bottom w:val="single" w:sz="8" w:color="auto"/>
            </w:tcBorders>
            <w:gridSpan w:val="8"/>
          </w:tcPr>
          <w:p>
            <w:pPr>
              <w:jc w:val="center"/>
              <w:ind w:right="46"/>
              <w:spacing w:after="0"/>
              <w:rPr>
                <w:sz w:val="20"/>
                <w:szCs w:val="20"/>
                <w:color w:val="auto"/>
              </w:rPr>
            </w:pPr>
            <w:r>
              <w:rPr>
                <w:rFonts w:ascii="Arial" w:cs="Arial" w:eastAsia="Arial" w:hAnsi="Arial"/>
                <w:sz w:val="19"/>
                <w:szCs w:val="19"/>
                <w:color w:val="auto"/>
                <w:w w:val="90"/>
              </w:rPr>
              <w:t>Three Months Ended March 31, 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80"/>
              <w:spacing w:after="0"/>
              <w:rPr>
                <w:sz w:val="20"/>
                <w:szCs w:val="20"/>
                <w:color w:val="auto"/>
              </w:rPr>
            </w:pPr>
            <w:r>
              <w:rPr>
                <w:rFonts w:ascii="Arial" w:cs="Arial" w:eastAsia="Arial" w:hAnsi="Arial"/>
                <w:sz w:val="19"/>
                <w:szCs w:val="19"/>
                <w:color w:val="auto"/>
              </w:rPr>
              <w:t>(158.1)</w:t>
            </w:r>
          </w:p>
        </w:tc>
        <w:tc>
          <w:tcPr>
            <w:tcW w:w="200" w:type="dxa"/>
            <w:vAlign w:val="bottom"/>
            <w:gridSpan w:val="2"/>
          </w:tcPr>
          <w:p>
            <w:pPr>
              <w:ind w:left="100"/>
              <w:spacing w:after="0"/>
              <w:rPr>
                <w:sz w:val="20"/>
                <w:szCs w:val="20"/>
                <w:color w:val="auto"/>
              </w:rPr>
            </w:pPr>
            <w:r>
              <w:rPr>
                <w:rFonts w:ascii="Arial" w:cs="Arial" w:eastAsia="Arial" w:hAnsi="Arial"/>
                <w:sz w:val="19"/>
                <w:szCs w:val="19"/>
                <w:color w:val="auto"/>
                <w:w w:val="75"/>
              </w:rPr>
              <w:t>$</w:t>
            </w:r>
          </w:p>
        </w:tc>
        <w:tc>
          <w:tcPr>
            <w:tcW w:w="1700" w:type="dxa"/>
            <w:vAlign w:val="bottom"/>
            <w:gridSpan w:val="2"/>
          </w:tcPr>
          <w:p>
            <w:pPr>
              <w:jc w:val="right"/>
              <w:ind w:right="200"/>
              <w:spacing w:after="0"/>
              <w:rPr>
                <w:sz w:val="20"/>
                <w:szCs w:val="20"/>
                <w:color w:val="auto"/>
              </w:rPr>
            </w:pPr>
            <w:r>
              <w:rPr>
                <w:rFonts w:ascii="Arial" w:cs="Arial" w:eastAsia="Arial" w:hAnsi="Arial"/>
                <w:sz w:val="19"/>
                <w:szCs w:val="19"/>
                <w:color w:val="auto"/>
              </w:rPr>
              <w:t>(0.3)</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(158.4)</w:t>
            </w:r>
          </w:p>
        </w:tc>
        <w:tc>
          <w:tcPr>
            <w:tcW w:w="0" w:type="dxa"/>
            <w:vAlign w:val="bottom"/>
          </w:tcPr>
          <w:p>
            <w:pPr>
              <w:spacing w:after="0"/>
              <w:rPr>
                <w:sz w:val="1"/>
                <w:szCs w:val="1"/>
                <w:color w:val="auto"/>
              </w:rPr>
            </w:pPr>
          </w:p>
        </w:tc>
      </w:tr>
      <w:tr>
        <w:trPr>
          <w:trHeight w:val="207"/>
        </w:trPr>
        <w:tc>
          <w:tcPr>
            <w:tcW w:w="608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Other comprehensive earnings before reclassifications,</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shd w:val="clear" w:color="auto" w:fill="CFF0FC"/>
          </w:tcPr>
          <w:p>
            <w:pPr>
              <w:ind w:left="140"/>
              <w:spacing w:after="0"/>
              <w:rPr>
                <w:sz w:val="20"/>
                <w:szCs w:val="20"/>
                <w:color w:val="auto"/>
              </w:rPr>
            </w:pPr>
            <w:r>
              <w:rPr>
                <w:rFonts w:ascii="Arial" w:cs="Arial" w:eastAsia="Arial" w:hAnsi="Arial"/>
                <w:sz w:val="19"/>
                <w:szCs w:val="19"/>
                <w:color w:val="auto"/>
              </w:rPr>
              <w:t>net of tax</w:t>
            </w:r>
          </w:p>
        </w:tc>
        <w:tc>
          <w:tcPr>
            <w:tcW w:w="1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0.3</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080" w:type="dxa"/>
            <w:vAlign w:val="bottom"/>
          </w:tcPr>
          <w:p>
            <w:pPr>
              <w:spacing w:after="0" w:line="207" w:lineRule="exact"/>
              <w:rPr>
                <w:sz w:val="20"/>
                <w:szCs w:val="20"/>
                <w:color w:val="auto"/>
              </w:rPr>
            </w:pPr>
            <w:r>
              <w:rPr>
                <w:rFonts w:ascii="Arial" w:cs="Arial" w:eastAsia="Arial" w:hAnsi="Arial"/>
                <w:sz w:val="19"/>
                <w:szCs w:val="19"/>
                <w:color w:val="auto"/>
              </w:rPr>
              <w:t>Amounts reclassified from accumulated other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tcPr>
          <w:p>
            <w:pPr>
              <w:ind w:left="140"/>
              <w:spacing w:after="0"/>
              <w:rPr>
                <w:sz w:val="20"/>
                <w:szCs w:val="20"/>
                <w:color w:val="auto"/>
              </w:rPr>
            </w:pPr>
            <w:r>
              <w:rPr>
                <w:rFonts w:ascii="Arial" w:cs="Arial" w:eastAsia="Arial" w:hAnsi="Arial"/>
                <w:sz w:val="19"/>
                <w:szCs w:val="19"/>
                <w:color w:val="auto"/>
              </w:rPr>
              <w:t>comprehensive earnings, net of tax</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Other comprehensive earnings, net of tax</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0.3</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color w:val="auto"/>
              </w:rPr>
              <w:t>Balance at end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80"/>
              <w:spacing w:after="0"/>
              <w:rPr>
                <w:sz w:val="20"/>
                <w:szCs w:val="20"/>
                <w:color w:val="auto"/>
              </w:rPr>
            </w:pPr>
            <w:r>
              <w:rPr>
                <w:rFonts w:ascii="Arial" w:cs="Arial" w:eastAsia="Arial" w:hAnsi="Arial"/>
                <w:sz w:val="19"/>
                <w:szCs w:val="19"/>
                <w:color w:val="auto"/>
              </w:rPr>
              <w:t>(155.6)</w:t>
            </w: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9"/>
                <w:szCs w:val="19"/>
                <w:color w:val="auto"/>
                <w:w w:val="75"/>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(155.6)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8"/>
          </w:tcPr>
          <w:p>
            <w:pPr>
              <w:jc w:val="center"/>
              <w:ind w:right="46"/>
              <w:spacing w:after="0"/>
              <w:rPr>
                <w:sz w:val="20"/>
                <w:szCs w:val="20"/>
                <w:color w:val="auto"/>
              </w:rPr>
            </w:pPr>
            <w:r>
              <w:rPr>
                <w:rFonts w:ascii="Arial" w:cs="Arial" w:eastAsia="Arial" w:hAnsi="Arial"/>
                <w:sz w:val="19"/>
                <w:szCs w:val="19"/>
                <w:color w:val="auto"/>
                <w:w w:val="90"/>
              </w:rPr>
              <w:t>Three Months Ended March 31, 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80"/>
              <w:spacing w:after="0"/>
              <w:rPr>
                <w:sz w:val="20"/>
                <w:szCs w:val="20"/>
                <w:color w:val="auto"/>
              </w:rPr>
            </w:pPr>
            <w:r>
              <w:rPr>
                <w:rFonts w:ascii="Arial" w:cs="Arial" w:eastAsia="Arial" w:hAnsi="Arial"/>
                <w:sz w:val="19"/>
                <w:szCs w:val="19"/>
                <w:color w:val="auto"/>
              </w:rPr>
              <w:t>(144.9)</w:t>
            </w:r>
          </w:p>
        </w:tc>
        <w:tc>
          <w:tcPr>
            <w:tcW w:w="200" w:type="dxa"/>
            <w:vAlign w:val="bottom"/>
            <w:gridSpan w:val="2"/>
          </w:tcPr>
          <w:p>
            <w:pPr>
              <w:ind w:left="100"/>
              <w:spacing w:after="0"/>
              <w:rPr>
                <w:sz w:val="20"/>
                <w:szCs w:val="20"/>
                <w:color w:val="auto"/>
              </w:rPr>
            </w:pPr>
            <w:r>
              <w:rPr>
                <w:rFonts w:ascii="Arial" w:cs="Arial" w:eastAsia="Arial" w:hAnsi="Arial"/>
                <w:sz w:val="19"/>
                <w:szCs w:val="19"/>
                <w:color w:val="auto"/>
                <w:w w:val="75"/>
              </w:rPr>
              <w:t>$</w:t>
            </w:r>
          </w:p>
        </w:tc>
        <w:tc>
          <w:tcPr>
            <w:tcW w:w="1700" w:type="dxa"/>
            <w:vAlign w:val="bottom"/>
            <w:gridSpan w:val="2"/>
          </w:tcPr>
          <w:p>
            <w:pPr>
              <w:jc w:val="right"/>
              <w:ind w:right="200"/>
              <w:spacing w:after="0"/>
              <w:rPr>
                <w:sz w:val="20"/>
                <w:szCs w:val="20"/>
                <w:color w:val="auto"/>
              </w:rPr>
            </w:pPr>
            <w:r>
              <w:rPr>
                <w:rFonts w:ascii="Arial" w:cs="Arial" w:eastAsia="Arial" w:hAnsi="Arial"/>
                <w:sz w:val="19"/>
                <w:szCs w:val="19"/>
                <w:color w:val="auto"/>
              </w:rPr>
              <w:t>(0.9)</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(145.8)</w:t>
            </w:r>
          </w:p>
        </w:tc>
        <w:tc>
          <w:tcPr>
            <w:tcW w:w="0" w:type="dxa"/>
            <w:vAlign w:val="bottom"/>
          </w:tcPr>
          <w:p>
            <w:pPr>
              <w:spacing w:after="0"/>
              <w:rPr>
                <w:sz w:val="1"/>
                <w:szCs w:val="1"/>
                <w:color w:val="auto"/>
              </w:rPr>
            </w:pPr>
          </w:p>
        </w:tc>
      </w:tr>
      <w:tr>
        <w:trPr>
          <w:trHeight w:val="207"/>
        </w:trPr>
        <w:tc>
          <w:tcPr>
            <w:tcW w:w="6080" w:type="dxa"/>
            <w:vAlign w:val="bottom"/>
            <w:shd w:val="clear" w:color="auto" w:fill="CFF2FA"/>
          </w:tcPr>
          <w:p>
            <w:pPr>
              <w:spacing w:after="0" w:line="207" w:lineRule="exact"/>
              <w:rPr>
                <w:sz w:val="20"/>
                <w:szCs w:val="20"/>
                <w:color w:val="auto"/>
              </w:rPr>
            </w:pPr>
            <w:r>
              <w:rPr>
                <w:rFonts w:ascii="Arial" w:cs="Arial" w:eastAsia="Arial" w:hAnsi="Arial"/>
                <w:sz w:val="19"/>
                <w:szCs w:val="19"/>
                <w:color w:val="auto"/>
              </w:rPr>
              <w:t>Other comprehensive loss before reclassifications,</w:t>
            </w:r>
          </w:p>
        </w:tc>
        <w:tc>
          <w:tcPr>
            <w:tcW w:w="140" w:type="dxa"/>
            <w:vAlign w:val="bottom"/>
            <w:shd w:val="clear" w:color="auto" w:fill="CFF2FA"/>
          </w:tcPr>
          <w:p>
            <w:pPr>
              <w:spacing w:after="0"/>
              <w:rPr>
                <w:sz w:val="18"/>
                <w:szCs w:val="18"/>
                <w:color w:val="auto"/>
              </w:rPr>
            </w:pPr>
          </w:p>
        </w:tc>
        <w:tc>
          <w:tcPr>
            <w:tcW w:w="134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44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3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shd w:val="clear" w:color="auto" w:fill="CFF2FA"/>
          </w:tcPr>
          <w:p>
            <w:pPr>
              <w:ind w:left="140"/>
              <w:spacing w:after="0"/>
              <w:rPr>
                <w:sz w:val="20"/>
                <w:szCs w:val="20"/>
                <w:color w:val="auto"/>
              </w:rPr>
            </w:pPr>
            <w:r>
              <w:rPr>
                <w:rFonts w:ascii="Arial" w:cs="Arial" w:eastAsia="Arial" w:hAnsi="Arial"/>
                <w:sz w:val="19"/>
                <w:szCs w:val="19"/>
                <w:color w:val="auto"/>
              </w:rPr>
              <w:t>net of tax</w:t>
            </w:r>
          </w:p>
        </w:tc>
        <w:tc>
          <w:tcPr>
            <w:tcW w:w="140" w:type="dxa"/>
            <w:vAlign w:val="bottom"/>
            <w:shd w:val="clear" w:color="auto" w:fill="CFF2FA"/>
          </w:tcPr>
          <w:p>
            <w:pPr>
              <w:spacing w:after="0"/>
              <w:rPr>
                <w:sz w:val="20"/>
                <w:szCs w:val="20"/>
                <w:color w:val="auto"/>
              </w:rPr>
            </w:pPr>
          </w:p>
        </w:tc>
        <w:tc>
          <w:tcPr>
            <w:tcW w:w="1500" w:type="dxa"/>
            <w:vAlign w:val="bottom"/>
            <w:gridSpan w:val="2"/>
            <w:shd w:val="clear" w:color="auto" w:fill="CFF2FA"/>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700" w:type="dxa"/>
            <w:vAlign w:val="bottom"/>
            <w:gridSpan w:val="2"/>
            <w:shd w:val="clear" w:color="auto" w:fill="CFF2FA"/>
          </w:tcPr>
          <w:p>
            <w:pPr>
              <w:jc w:val="right"/>
              <w:ind w:right="200"/>
              <w:spacing w:after="0"/>
              <w:rPr>
                <w:sz w:val="20"/>
                <w:szCs w:val="20"/>
                <w:color w:val="auto"/>
              </w:rPr>
            </w:pPr>
            <w:r>
              <w:rPr>
                <w:rFonts w:ascii="Arial" w:cs="Arial" w:eastAsia="Arial" w:hAnsi="Arial"/>
                <w:sz w:val="19"/>
                <w:szCs w:val="19"/>
                <w:color w:val="auto"/>
              </w:rPr>
              <w:t>(2.1)</w:t>
            </w:r>
          </w:p>
        </w:tc>
        <w:tc>
          <w:tcPr>
            <w:tcW w:w="120" w:type="dxa"/>
            <w:vAlign w:val="bottom"/>
            <w:shd w:val="clear" w:color="auto" w:fill="CFF2FA"/>
          </w:tcPr>
          <w:p>
            <w:pPr>
              <w:spacing w:after="0"/>
              <w:rPr>
                <w:sz w:val="20"/>
                <w:szCs w:val="20"/>
                <w:color w:val="auto"/>
              </w:rPr>
            </w:pPr>
          </w:p>
        </w:tc>
        <w:tc>
          <w:tcPr>
            <w:tcW w:w="1500" w:type="dxa"/>
            <w:vAlign w:val="bottom"/>
            <w:gridSpan w:val="2"/>
            <w:shd w:val="clear" w:color="auto" w:fill="CFF2FA"/>
          </w:tcPr>
          <w:p>
            <w:pPr>
              <w:jc w:val="right"/>
              <w:ind w:right="60"/>
              <w:spacing w:after="0"/>
              <w:rPr>
                <w:sz w:val="20"/>
                <w:szCs w:val="20"/>
                <w:color w:val="auto"/>
              </w:rPr>
            </w:pPr>
            <w:r>
              <w:rPr>
                <w:rFonts w:ascii="Arial" w:cs="Arial" w:eastAsia="Arial" w:hAnsi="Arial"/>
                <w:sz w:val="19"/>
                <w:szCs w:val="19"/>
                <w:color w:val="auto"/>
              </w:rPr>
              <w:t>(2.1)</w:t>
            </w:r>
          </w:p>
        </w:tc>
        <w:tc>
          <w:tcPr>
            <w:tcW w:w="0" w:type="dxa"/>
            <w:vAlign w:val="bottom"/>
          </w:tcPr>
          <w:p>
            <w:pPr>
              <w:spacing w:after="0"/>
              <w:rPr>
                <w:sz w:val="1"/>
                <w:szCs w:val="1"/>
                <w:color w:val="auto"/>
              </w:rPr>
            </w:pPr>
          </w:p>
        </w:tc>
      </w:tr>
      <w:tr>
        <w:trPr>
          <w:trHeight w:val="207"/>
        </w:trPr>
        <w:tc>
          <w:tcPr>
            <w:tcW w:w="6080" w:type="dxa"/>
            <w:vAlign w:val="bottom"/>
          </w:tcPr>
          <w:p>
            <w:pPr>
              <w:spacing w:after="0" w:line="207" w:lineRule="exact"/>
              <w:rPr>
                <w:sz w:val="20"/>
                <w:szCs w:val="20"/>
                <w:color w:val="auto"/>
              </w:rPr>
            </w:pPr>
            <w:r>
              <w:rPr>
                <w:rFonts w:ascii="Arial" w:cs="Arial" w:eastAsia="Arial" w:hAnsi="Arial"/>
                <w:sz w:val="19"/>
                <w:szCs w:val="19"/>
                <w:color w:val="auto"/>
              </w:rPr>
              <w:t>Amounts reclassified from accumulated other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tcBorders>
              <w:bottom w:val="single" w:sz="8" w:color="CFF2FA"/>
            </w:tcBorders>
          </w:tcPr>
          <w:p>
            <w:pPr>
              <w:ind w:left="140"/>
              <w:spacing w:after="0"/>
              <w:rPr>
                <w:sz w:val="20"/>
                <w:szCs w:val="20"/>
                <w:color w:val="auto"/>
              </w:rPr>
            </w:pPr>
            <w:r>
              <w:rPr>
                <w:rFonts w:ascii="Arial" w:cs="Arial" w:eastAsia="Arial" w:hAnsi="Arial"/>
                <w:sz w:val="19"/>
                <w:szCs w:val="19"/>
                <w:color w:val="auto"/>
              </w:rPr>
              <w:t>comprehensive loss, net of tax</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w:t>
            </w:r>
          </w:p>
        </w:tc>
        <w:tc>
          <w:tcPr>
            <w:tcW w:w="160" w:type="dxa"/>
            <w:vAlign w:val="bottom"/>
            <w:tcBorders>
              <w:bottom w:val="single" w:sz="8" w:color="CFF2FA"/>
            </w:tcBorders>
          </w:tcPr>
          <w:p>
            <w:pPr>
              <w:spacing w:after="0"/>
              <w:rPr>
                <w:sz w:val="20"/>
                <w:szCs w:val="20"/>
                <w:color w:val="auto"/>
              </w:rPr>
            </w:pPr>
          </w:p>
        </w:tc>
        <w:tc>
          <w:tcPr>
            <w:tcW w:w="100" w:type="dxa"/>
            <w:vAlign w:val="bottom"/>
            <w:tcBorders>
              <w:bottom w:val="single" w:sz="8" w:color="CFF2FA"/>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60" w:type="dxa"/>
            <w:vAlign w:val="bottom"/>
            <w:tcBorders>
              <w:bottom w:val="single" w:sz="8" w:color="CFF2FA"/>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w:t>
            </w:r>
          </w:p>
        </w:tc>
        <w:tc>
          <w:tcPr>
            <w:tcW w:w="120" w:type="dxa"/>
            <w:vAlign w:val="bottom"/>
            <w:tcBorders>
              <w:bottom w:val="single" w:sz="8" w:color="CFF2FA"/>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2FA"/>
          </w:tcPr>
          <w:p>
            <w:pPr>
              <w:spacing w:after="0"/>
              <w:rPr>
                <w:sz w:val="20"/>
                <w:szCs w:val="20"/>
                <w:color w:val="auto"/>
              </w:rPr>
            </w:pPr>
            <w:r>
              <w:rPr>
                <w:rFonts w:ascii="Arial" w:cs="Arial" w:eastAsia="Arial" w:hAnsi="Arial"/>
                <w:sz w:val="19"/>
                <w:szCs w:val="19"/>
                <w:color w:val="auto"/>
              </w:rPr>
              <w:t>Other comprehensive earnings (loss), net of tax</w:t>
            </w:r>
          </w:p>
        </w:tc>
        <w:tc>
          <w:tcPr>
            <w:tcW w:w="140" w:type="dxa"/>
            <w:vAlign w:val="bottom"/>
            <w:shd w:val="clear" w:color="auto" w:fill="CFF2FA"/>
          </w:tcPr>
          <w:p>
            <w:pPr>
              <w:spacing w:after="0"/>
              <w:rPr>
                <w:sz w:val="19"/>
                <w:szCs w:val="19"/>
                <w:color w:val="auto"/>
              </w:rPr>
            </w:pPr>
          </w:p>
        </w:tc>
        <w:tc>
          <w:tcPr>
            <w:tcW w:w="1340" w:type="dxa"/>
            <w:vAlign w:val="bottom"/>
            <w:shd w:val="clear" w:color="auto" w:fill="CFF2FA"/>
          </w:tcPr>
          <w:p>
            <w:pPr>
              <w:jc w:val="right"/>
              <w:spacing w:after="0"/>
              <w:rPr>
                <w:sz w:val="20"/>
                <w:szCs w:val="20"/>
                <w:color w:val="auto"/>
              </w:rPr>
            </w:pPr>
            <w:r>
              <w:rPr>
                <w:rFonts w:ascii="Arial" w:cs="Arial" w:eastAsia="Arial" w:hAnsi="Arial"/>
                <w:sz w:val="19"/>
                <w:szCs w:val="19"/>
                <w:color w:val="auto"/>
              </w:rPr>
              <w:t>2.5</w:t>
            </w:r>
          </w:p>
        </w:tc>
        <w:tc>
          <w:tcPr>
            <w:tcW w:w="1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700" w:type="dxa"/>
            <w:vAlign w:val="bottom"/>
            <w:gridSpan w:val="2"/>
            <w:shd w:val="clear" w:color="auto" w:fill="CFF2FA"/>
          </w:tcPr>
          <w:p>
            <w:pPr>
              <w:jc w:val="right"/>
              <w:ind w:right="200"/>
              <w:spacing w:after="0"/>
              <w:rPr>
                <w:sz w:val="20"/>
                <w:szCs w:val="20"/>
                <w:color w:val="auto"/>
              </w:rPr>
            </w:pPr>
            <w:r>
              <w:rPr>
                <w:rFonts w:ascii="Arial" w:cs="Arial" w:eastAsia="Arial" w:hAnsi="Arial"/>
                <w:sz w:val="19"/>
                <w:szCs w:val="19"/>
                <w:color w:val="auto"/>
              </w:rPr>
              <w:t>(2.1)</w:t>
            </w:r>
          </w:p>
        </w:tc>
        <w:tc>
          <w:tcPr>
            <w:tcW w:w="120" w:type="dxa"/>
            <w:vAlign w:val="bottom"/>
            <w:shd w:val="clear" w:color="auto" w:fill="CFF2FA"/>
          </w:tcPr>
          <w:p>
            <w:pPr>
              <w:spacing w:after="0"/>
              <w:rPr>
                <w:sz w:val="19"/>
                <w:szCs w:val="19"/>
                <w:color w:val="auto"/>
              </w:rPr>
            </w:pPr>
          </w:p>
        </w:tc>
        <w:tc>
          <w:tcPr>
            <w:tcW w:w="1380" w:type="dxa"/>
            <w:vAlign w:val="bottom"/>
            <w:shd w:val="clear" w:color="auto" w:fill="CFF2FA"/>
          </w:tcPr>
          <w:p>
            <w:pPr>
              <w:jc w:val="right"/>
              <w:spacing w:after="0"/>
              <w:rPr>
                <w:sz w:val="20"/>
                <w:szCs w:val="20"/>
                <w:color w:val="auto"/>
              </w:rPr>
            </w:pPr>
            <w:r>
              <w:rPr>
                <w:rFonts w:ascii="Arial" w:cs="Arial" w:eastAsia="Arial" w:hAnsi="Arial"/>
                <w:sz w:val="19"/>
                <w:szCs w:val="19"/>
                <w:color w:val="auto"/>
              </w:rPr>
              <w:t>0.4</w:t>
            </w:r>
          </w:p>
        </w:tc>
        <w:tc>
          <w:tcPr>
            <w:tcW w:w="1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9"/>
                <w:szCs w:val="19"/>
                <w:color w:val="auto"/>
              </w:rPr>
              <w:t>Balance at end of period</w:t>
            </w: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80"/>
              <w:spacing w:after="0"/>
              <w:rPr>
                <w:sz w:val="20"/>
                <w:szCs w:val="20"/>
                <w:color w:val="auto"/>
              </w:rPr>
            </w:pPr>
            <w:r>
              <w:rPr>
                <w:rFonts w:ascii="Arial" w:cs="Arial" w:eastAsia="Arial" w:hAnsi="Arial"/>
                <w:sz w:val="19"/>
                <w:szCs w:val="19"/>
                <w:color w:val="auto"/>
              </w:rPr>
              <w:t>(142.4)</w:t>
            </w:r>
          </w:p>
        </w:tc>
        <w:tc>
          <w:tcPr>
            <w:tcW w:w="1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9"/>
                <w:szCs w:val="19"/>
                <w:color w:val="auto"/>
                <w:w w:val="75"/>
              </w:rPr>
              <w:t>$</w:t>
            </w:r>
          </w:p>
        </w:tc>
        <w:tc>
          <w:tcPr>
            <w:tcW w:w="1700" w:type="dxa"/>
            <w:vAlign w:val="bottom"/>
            <w:gridSpan w:val="2"/>
          </w:tcPr>
          <w:p>
            <w:pPr>
              <w:jc w:val="right"/>
              <w:ind w:right="200"/>
              <w:spacing w:after="0"/>
              <w:rPr>
                <w:sz w:val="20"/>
                <w:szCs w:val="20"/>
                <w:color w:val="auto"/>
              </w:rPr>
            </w:pPr>
            <w:r>
              <w:rPr>
                <w:rFonts w:ascii="Arial" w:cs="Arial" w:eastAsia="Arial" w:hAnsi="Arial"/>
                <w:sz w:val="19"/>
                <w:szCs w:val="19"/>
                <w:color w:val="auto"/>
              </w:rPr>
              <w:t>(3.0)</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(145.4)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net noncurrent deferred tax assets related to accumulated other comprehensive loss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40" w:type="dxa"/>
            <w:vAlign w:val="bottom"/>
          </w:tcPr>
          <w:p>
            <w:pPr>
              <w:spacing w:after="0"/>
              <w:rPr>
                <w:sz w:val="21"/>
                <w:szCs w:val="21"/>
                <w:color w:val="auto"/>
              </w:rPr>
            </w:pPr>
          </w:p>
        </w:tc>
        <w:tc>
          <w:tcPr>
            <w:tcW w:w="3860" w:type="dxa"/>
            <w:vAlign w:val="bottom"/>
            <w:tcBorders>
              <w:bottom w:val="single" w:sz="8" w:color="auto"/>
            </w:tcBorders>
            <w:gridSpan w:val="4"/>
          </w:tcPr>
          <w:p>
            <w:pPr>
              <w:jc w:val="center"/>
              <w:ind w:left="321"/>
              <w:spacing w:after="0"/>
              <w:rPr>
                <w:sz w:val="20"/>
                <w:szCs w:val="20"/>
                <w:color w:val="auto"/>
              </w:rPr>
            </w:pPr>
            <w:r>
              <w:rPr>
                <w:rFonts w:ascii="Arial" w:cs="Arial" w:eastAsia="Arial" w:hAnsi="Arial"/>
                <w:sz w:val="20"/>
                <w:szCs w:val="20"/>
                <w:color w:val="auto"/>
                <w:w w:val="88"/>
              </w:rPr>
              <w:t>Pension and Postretirement Benefit Plans</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3"/>
        </w:trPr>
        <w:tc>
          <w:tcPr>
            <w:tcW w:w="6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20" w:type="dxa"/>
            <w:vAlign w:val="bottom"/>
            <w:gridSpan w:val="3"/>
          </w:tcPr>
          <w:p>
            <w:pPr>
              <w:jc w:val="center"/>
              <w:ind w:right="721"/>
              <w:spacing w:after="0"/>
              <w:rPr>
                <w:sz w:val="20"/>
                <w:szCs w:val="20"/>
                <w:color w:val="auto"/>
              </w:rPr>
            </w:pPr>
            <w:r>
              <w:rPr>
                <w:rFonts w:ascii="Arial" w:cs="Arial" w:eastAsia="Arial" w:hAnsi="Arial"/>
                <w:sz w:val="20"/>
                <w:szCs w:val="20"/>
                <w:color w:val="auto"/>
                <w:w w:val="89"/>
              </w:rPr>
              <w:t>Three Months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84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3"/>
          </w:tcPr>
          <w:p>
            <w:pPr>
              <w:jc w:val="center"/>
              <w:ind w:right="721"/>
              <w:spacing w:after="0"/>
              <w:rPr>
                <w:sz w:val="20"/>
                <w:szCs w:val="20"/>
                <w:color w:val="auto"/>
              </w:rPr>
            </w:pPr>
            <w:r>
              <w:rPr>
                <w:rFonts w:ascii="Arial" w:cs="Arial" w:eastAsia="Arial" w:hAnsi="Arial"/>
                <w:sz w:val="20"/>
                <w:szCs w:val="20"/>
                <w:color w:val="auto"/>
                <w:w w:val="89"/>
              </w:rPr>
              <w:t>March 31,</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84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2020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6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20" w:type="dxa"/>
            <w:vAlign w:val="bottom"/>
            <w:gridSpan w:val="3"/>
          </w:tcPr>
          <w:p>
            <w:pPr>
              <w:jc w:val="center"/>
              <w:ind w:right="721"/>
              <w:spacing w:after="0"/>
              <w:rPr>
                <w:sz w:val="20"/>
                <w:szCs w:val="20"/>
                <w:color w:val="auto"/>
              </w:rPr>
            </w:pPr>
            <w:r>
              <w:rPr>
                <w:rFonts w:ascii="Arial" w:cs="Arial" w:eastAsia="Arial" w:hAnsi="Arial"/>
                <w:sz w:val="20"/>
                <w:szCs w:val="20"/>
                <w:i w:val="1"/>
                <w:iCs w:val="1"/>
                <w:color w:val="auto"/>
                <w:w w:val="97"/>
              </w:rPr>
              <w:t>(Dollars in Millions)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840" w:type="dxa"/>
            <w:vAlign w:val="bottom"/>
          </w:tcPr>
          <w:p>
            <w:pPr>
              <w:spacing w:after="0"/>
              <w:rPr>
                <w:sz w:val="20"/>
                <w:szCs w:val="20"/>
                <w:color w:val="auto"/>
              </w:rPr>
            </w:pPr>
            <w:r>
              <w:rPr>
                <w:rFonts w:ascii="Arial" w:cs="Arial" w:eastAsia="Arial" w:hAnsi="Arial"/>
                <w:sz w:val="20"/>
                <w:szCs w:val="20"/>
                <w:color w:val="auto"/>
              </w:rPr>
              <w:t>Balance at beginning of period</w:t>
            </w:r>
          </w:p>
        </w:tc>
        <w:tc>
          <w:tcPr>
            <w:tcW w:w="1240" w:type="dxa"/>
            <w:vAlign w:val="bottom"/>
          </w:tcPr>
          <w:p>
            <w:pPr>
              <w:jc w:val="right"/>
              <w:ind w:right="1041"/>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89.4</w:t>
            </w:r>
          </w:p>
        </w:tc>
        <w:tc>
          <w:tcPr>
            <w:tcW w:w="320" w:type="dxa"/>
            <w:vAlign w:val="bottom"/>
          </w:tcPr>
          <w:p>
            <w:pPr>
              <w:spacing w:after="0"/>
              <w:rPr>
                <w:sz w:val="21"/>
                <w:szCs w:val="21"/>
                <w:color w:val="auto"/>
              </w:rPr>
            </w:pPr>
          </w:p>
        </w:tc>
        <w:tc>
          <w:tcPr>
            <w:tcW w:w="1560" w:type="dxa"/>
            <w:vAlign w:val="bottom"/>
          </w:tcPr>
          <w:p>
            <w:pPr>
              <w:jc w:val="right"/>
              <w:ind w:right="1361"/>
              <w:spacing w:after="0"/>
              <w:rPr>
                <w:sz w:val="20"/>
                <w:szCs w:val="20"/>
                <w:color w:val="auto"/>
              </w:rPr>
            </w:pPr>
            <w:r>
              <w:rPr>
                <w:rFonts w:ascii="Arial" w:cs="Arial" w:eastAsia="Arial" w:hAnsi="Arial"/>
                <w:sz w:val="20"/>
                <w:szCs w:val="20"/>
                <w:color w:val="auto"/>
                <w:w w:val="71"/>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85.2</w:t>
            </w:r>
          </w:p>
        </w:tc>
        <w:tc>
          <w:tcPr>
            <w:tcW w:w="100" w:type="dxa"/>
            <w:vAlign w:val="bottom"/>
          </w:tcPr>
          <w:p>
            <w:pPr>
              <w:spacing w:after="0"/>
              <w:rPr>
                <w:sz w:val="21"/>
                <w:szCs w:val="21"/>
                <w:color w:val="auto"/>
              </w:rPr>
            </w:pPr>
          </w:p>
        </w:tc>
      </w:tr>
      <w:tr>
        <w:trPr>
          <w:trHeight w:val="243"/>
        </w:trPr>
        <w:tc>
          <w:tcPr>
            <w:tcW w:w="6840" w:type="dxa"/>
            <w:vAlign w:val="bottom"/>
            <w:shd w:val="clear" w:color="auto" w:fill="CFF0FC"/>
          </w:tcPr>
          <w:p>
            <w:pPr>
              <w:spacing w:after="0"/>
              <w:rPr>
                <w:sz w:val="20"/>
                <w:szCs w:val="20"/>
                <w:color w:val="auto"/>
              </w:rPr>
            </w:pPr>
            <w:r>
              <w:rPr>
                <w:rFonts w:ascii="Arial" w:cs="Arial" w:eastAsia="Arial" w:hAnsi="Arial"/>
                <w:sz w:val="20"/>
                <w:szCs w:val="20"/>
                <w:color w:val="auto"/>
              </w:rPr>
              <w:t>Tax effect of other comprehensive earnings</w:t>
            </w:r>
          </w:p>
        </w:tc>
        <w:tc>
          <w:tcPr>
            <w:tcW w:w="1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(0.7)</w:t>
            </w:r>
          </w:p>
        </w:tc>
        <w:tc>
          <w:tcPr>
            <w:tcW w:w="156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(0.8)</w:t>
            </w:r>
          </w:p>
        </w:tc>
      </w:tr>
      <w:tr>
        <w:trPr>
          <w:trHeight w:val="236"/>
        </w:trPr>
        <w:tc>
          <w:tcPr>
            <w:tcW w:w="6840" w:type="dxa"/>
            <w:vAlign w:val="bottom"/>
          </w:tcPr>
          <w:p>
            <w:pPr>
              <w:spacing w:after="0"/>
              <w:rPr>
                <w:sz w:val="20"/>
                <w:szCs w:val="20"/>
                <w:color w:val="auto"/>
              </w:rPr>
            </w:pPr>
            <w:r>
              <w:rPr>
                <w:rFonts w:ascii="Arial" w:cs="Arial" w:eastAsia="Arial" w:hAnsi="Arial"/>
                <w:sz w:val="20"/>
                <w:szCs w:val="20"/>
                <w:color w:val="auto"/>
              </w:rPr>
              <w:t>Balance at end of period</w:t>
            </w:r>
          </w:p>
        </w:tc>
        <w:tc>
          <w:tcPr>
            <w:tcW w:w="1240" w:type="dxa"/>
            <w:vAlign w:val="bottom"/>
            <w:tcBorders>
              <w:top w:val="single" w:sz="8" w:color="auto"/>
              <w:bottom w:val="single" w:sz="8" w:color="auto"/>
            </w:tcBorders>
          </w:tcPr>
          <w:p>
            <w:pPr>
              <w:jc w:val="right"/>
              <w:ind w:right="1041"/>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88.7</w:t>
            </w:r>
          </w:p>
        </w:tc>
        <w:tc>
          <w:tcPr>
            <w:tcW w:w="32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ind w:right="1361"/>
              <w:spacing w:after="0"/>
              <w:rPr>
                <w:sz w:val="20"/>
                <w:szCs w:val="20"/>
                <w:color w:val="auto"/>
              </w:rPr>
            </w:pPr>
            <w:r>
              <w:rPr>
                <w:rFonts w:ascii="Arial" w:cs="Arial" w:eastAsia="Arial" w:hAnsi="Arial"/>
                <w:sz w:val="20"/>
                <w:szCs w:val="2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84.4</w:t>
            </w:r>
          </w:p>
        </w:tc>
        <w:tc>
          <w:tcPr>
            <w:tcW w:w="100" w:type="dxa"/>
            <w:vAlign w:val="bottom"/>
          </w:tcPr>
          <w:p>
            <w:pPr>
              <w:spacing w:after="0"/>
              <w:rPr>
                <w:sz w:val="20"/>
                <w:szCs w:val="20"/>
                <w:color w:val="auto"/>
              </w:rPr>
            </w:pPr>
          </w:p>
        </w:tc>
      </w:tr>
      <w:tr>
        <w:trPr>
          <w:trHeight w:val="20"/>
        </w:trPr>
        <w:tc>
          <w:tcPr>
            <w:tcW w:w="6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8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FORM 10-Q</w:t>
      </w:r>
    </w:p>
    <w:p>
      <w:pPr>
        <w:jc w:val="center"/>
        <w:ind w:right="80"/>
        <w:spacing w:after="0"/>
        <w:rPr>
          <w:sz w:val="20"/>
          <w:szCs w:val="20"/>
          <w:color w:val="auto"/>
        </w:rPr>
      </w:pPr>
      <w:r>
        <w:rPr>
          <w:rFonts w:ascii="Arial" w:cs="Arial" w:eastAsia="Arial" w:hAnsi="Arial"/>
          <w:sz w:val="20"/>
          <w:szCs w:val="20"/>
          <w:color w:val="auto"/>
        </w:rPr>
        <w:t>For the Quarter Ended March 31, 2021</w:t>
      </w:r>
    </w:p>
    <w:p>
      <w:pPr>
        <w:spacing w:after="0" w:line="5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43" w:lineRule="exact"/>
        <w:rPr>
          <w:sz w:val="20"/>
          <w:szCs w:val="20"/>
          <w:color w:val="auto"/>
        </w:rPr>
      </w:pPr>
    </w:p>
    <w:p>
      <w:pPr>
        <w:ind w:left="380"/>
        <w:spacing w:after="0"/>
        <w:rPr>
          <w:sz w:val="20"/>
          <w:szCs w:val="20"/>
          <w:color w:val="auto"/>
        </w:rPr>
      </w:pPr>
      <w:r>
        <w:rPr>
          <w:rFonts w:ascii="Arial" w:cs="Arial" w:eastAsia="Arial" w:hAnsi="Arial"/>
          <w:sz w:val="20"/>
          <w:szCs w:val="20"/>
          <w:color w:val="auto"/>
        </w:rPr>
        <w:t>Reclassifications out of accumulated other comprehensive loss are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80" w:type="dxa"/>
            <w:vAlign w:val="bottom"/>
            <w:gridSpan w:val="4"/>
          </w:tcPr>
          <w:p>
            <w:pPr>
              <w:jc w:val="right"/>
              <w:ind w:right="160"/>
              <w:spacing w:after="0"/>
              <w:rPr>
                <w:sz w:val="20"/>
                <w:szCs w:val="20"/>
                <w:color w:val="auto"/>
              </w:rPr>
            </w:pPr>
            <w:r>
              <w:rPr>
                <w:rFonts w:ascii="Arial" w:cs="Arial" w:eastAsia="Arial" w:hAnsi="Arial"/>
                <w:sz w:val="19"/>
                <w:szCs w:val="19"/>
                <w:color w:val="auto"/>
              </w:rPr>
              <w:t>Three Months Ended</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9"/>
                <w:szCs w:val="19"/>
                <w:color w:val="auto"/>
                <w:w w:val="91"/>
              </w:rPr>
              <w:t>Affected line items in the consolidated</w:t>
            </w:r>
          </w:p>
        </w:tc>
      </w:tr>
      <w:tr>
        <w:trPr>
          <w:trHeight w:val="238"/>
        </w:trPr>
        <w:tc>
          <w:tcPr>
            <w:tcW w:w="2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9"/>
                <w:szCs w:val="19"/>
                <w:color w:val="auto"/>
              </w:rPr>
              <w:t>March 31,</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9"/>
                <w:szCs w:val="19"/>
                <w:color w:val="auto"/>
                <w:w w:val="87"/>
              </w:rPr>
              <w:t>statements of earnings and</w:t>
            </w:r>
          </w:p>
        </w:tc>
      </w:tr>
      <w:tr>
        <w:trPr>
          <w:trHeight w:val="223"/>
        </w:trPr>
        <w:tc>
          <w:tcPr>
            <w:tcW w:w="2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2021</w:t>
            </w: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2020</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8"/>
              </w:rPr>
              <w:t>comprehensive earnings</w:t>
            </w:r>
          </w:p>
        </w:tc>
      </w:tr>
      <w:tr>
        <w:trPr>
          <w:trHeight w:val="223"/>
        </w:trPr>
        <w:tc>
          <w:tcPr>
            <w:tcW w:w="2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80" w:type="dxa"/>
            <w:vAlign w:val="bottom"/>
            <w:gridSpan w:val="4"/>
          </w:tcPr>
          <w:p>
            <w:pPr>
              <w:jc w:val="right"/>
              <w:ind w:right="60"/>
              <w:spacing w:after="0"/>
              <w:rPr>
                <w:sz w:val="20"/>
                <w:szCs w:val="20"/>
                <w:color w:val="auto"/>
              </w:rPr>
            </w:pPr>
            <w:r>
              <w:rPr>
                <w:rFonts w:ascii="Arial" w:cs="Arial" w:eastAsia="Arial" w:hAnsi="Arial"/>
                <w:sz w:val="19"/>
                <w:szCs w:val="19"/>
                <w:i w:val="1"/>
                <w:iCs w:val="1"/>
                <w:color w:val="auto"/>
              </w:rPr>
              <w:t>(Dollars in Millions)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07"/>
        </w:trPr>
        <w:tc>
          <w:tcPr>
            <w:tcW w:w="2940" w:type="dxa"/>
            <w:vAlign w:val="bottom"/>
            <w:shd w:val="clear" w:color="auto" w:fill="CFF0FC"/>
          </w:tcPr>
          <w:p>
            <w:pPr>
              <w:jc w:val="center"/>
              <w:ind w:right="786"/>
              <w:spacing w:after="0" w:line="207" w:lineRule="exact"/>
              <w:rPr>
                <w:sz w:val="20"/>
                <w:szCs w:val="20"/>
                <w:color w:val="auto"/>
              </w:rPr>
            </w:pPr>
            <w:r>
              <w:rPr>
                <w:rFonts w:ascii="Arial" w:cs="Arial" w:eastAsia="Arial" w:hAnsi="Arial"/>
                <w:sz w:val="19"/>
                <w:szCs w:val="19"/>
                <w:color w:val="auto"/>
                <w:w w:val="88"/>
              </w:rPr>
              <w:t>Pension and postretirement</w:t>
            </w:r>
          </w:p>
        </w:tc>
        <w:tc>
          <w:tcPr>
            <w:tcW w:w="8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80" w:type="dxa"/>
            <w:vAlign w:val="bottom"/>
            <w:shd w:val="clear" w:color="auto" w:fill="CFF0FC"/>
          </w:tcPr>
          <w:p>
            <w:pPr>
              <w:spacing w:after="0"/>
              <w:rPr>
                <w:sz w:val="18"/>
                <w:szCs w:val="18"/>
                <w:color w:val="auto"/>
              </w:rPr>
            </w:pPr>
          </w:p>
        </w:tc>
      </w:tr>
      <w:tr>
        <w:trPr>
          <w:trHeight w:val="238"/>
        </w:trPr>
        <w:tc>
          <w:tcPr>
            <w:tcW w:w="2940" w:type="dxa"/>
            <w:vAlign w:val="bottom"/>
            <w:shd w:val="clear" w:color="auto" w:fill="CFF0FC"/>
          </w:tcPr>
          <w:p>
            <w:pPr>
              <w:ind w:left="140"/>
              <w:spacing w:after="0"/>
              <w:rPr>
                <w:sz w:val="20"/>
                <w:szCs w:val="20"/>
                <w:color w:val="auto"/>
              </w:rPr>
            </w:pPr>
            <w:r>
              <w:rPr>
                <w:rFonts w:ascii="Arial" w:cs="Arial" w:eastAsia="Arial" w:hAnsi="Arial"/>
                <w:sz w:val="19"/>
                <w:szCs w:val="19"/>
                <w:color w:val="auto"/>
              </w:rPr>
              <w:t>benefit plans</w:t>
            </w:r>
          </w:p>
        </w:tc>
        <w:tc>
          <w:tcPr>
            <w:tcW w:w="8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480" w:type="dxa"/>
            <w:vAlign w:val="bottom"/>
            <w:shd w:val="clear" w:color="auto" w:fill="CFF0FC"/>
          </w:tcPr>
          <w:p>
            <w:pPr>
              <w:spacing w:after="0"/>
              <w:rPr>
                <w:sz w:val="20"/>
                <w:szCs w:val="20"/>
                <w:color w:val="auto"/>
              </w:rPr>
            </w:pPr>
          </w:p>
        </w:tc>
      </w:tr>
      <w:tr>
        <w:trPr>
          <w:trHeight w:val="229"/>
        </w:trPr>
        <w:tc>
          <w:tcPr>
            <w:tcW w:w="2940" w:type="dxa"/>
            <w:vAlign w:val="bottom"/>
          </w:tcPr>
          <w:p>
            <w:pPr>
              <w:ind w:left="260"/>
              <w:spacing w:after="0"/>
              <w:rPr>
                <w:sz w:val="20"/>
                <w:szCs w:val="20"/>
                <w:color w:val="auto"/>
              </w:rPr>
            </w:pPr>
            <w:r>
              <w:rPr>
                <w:rFonts w:ascii="Arial" w:cs="Arial" w:eastAsia="Arial" w:hAnsi="Arial"/>
                <w:sz w:val="19"/>
                <w:szCs w:val="19"/>
                <w:color w:val="auto"/>
              </w:rPr>
              <w:t>Amortization of:</w:t>
            </w: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30"/>
        </w:trPr>
        <w:tc>
          <w:tcPr>
            <w:tcW w:w="2940" w:type="dxa"/>
            <w:vAlign w:val="bottom"/>
            <w:shd w:val="clear" w:color="auto" w:fill="CFF0FC"/>
          </w:tcPr>
          <w:p>
            <w:pPr>
              <w:jc w:val="center"/>
              <w:ind w:right="806"/>
              <w:spacing w:after="0"/>
              <w:rPr>
                <w:sz w:val="20"/>
                <w:szCs w:val="20"/>
                <w:color w:val="auto"/>
              </w:rPr>
            </w:pPr>
            <w:r>
              <w:rPr>
                <w:rFonts w:ascii="Arial" w:cs="Arial" w:eastAsia="Arial" w:hAnsi="Arial"/>
                <w:sz w:val="19"/>
                <w:szCs w:val="19"/>
                <w:color w:val="auto"/>
                <w:w w:val="92"/>
              </w:rPr>
              <w:t>Actuarial loss</w:t>
            </w:r>
          </w:p>
        </w:tc>
        <w:tc>
          <w:tcPr>
            <w:tcW w:w="1760" w:type="dxa"/>
            <w:vAlign w:val="bottom"/>
            <w:gridSpan w:val="2"/>
            <w:shd w:val="clear" w:color="auto" w:fill="CFF0FC"/>
          </w:tcPr>
          <w:p>
            <w:pPr>
              <w:jc w:val="right"/>
              <w:ind w:right="706"/>
              <w:spacing w:after="0"/>
              <w:rPr>
                <w:sz w:val="20"/>
                <w:szCs w:val="20"/>
                <w:color w:val="auto"/>
              </w:rPr>
            </w:pPr>
            <w:r>
              <w:rPr>
                <w:rFonts w:ascii="Arial" w:cs="Arial" w:eastAsia="Arial" w:hAnsi="Arial"/>
                <w:sz w:val="19"/>
                <w:szCs w:val="19"/>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3.2</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3.3</w:t>
            </w:r>
          </w:p>
        </w:tc>
        <w:tc>
          <w:tcPr>
            <w:tcW w:w="160" w:type="dxa"/>
            <w:vAlign w:val="bottom"/>
            <w:shd w:val="clear" w:color="auto" w:fill="CFF0FC"/>
          </w:tcPr>
          <w:p>
            <w:pPr>
              <w:spacing w:after="0"/>
              <w:rPr>
                <w:sz w:val="19"/>
                <w:szCs w:val="19"/>
                <w:color w:val="auto"/>
              </w:rPr>
            </w:pPr>
          </w:p>
        </w:tc>
        <w:tc>
          <w:tcPr>
            <w:tcW w:w="4480" w:type="dxa"/>
            <w:vAlign w:val="bottom"/>
            <w:shd w:val="clear" w:color="auto" w:fill="CFF0FC"/>
          </w:tcPr>
          <w:p>
            <w:pPr>
              <w:ind w:left="100"/>
              <w:spacing w:after="0"/>
              <w:rPr>
                <w:sz w:val="20"/>
                <w:szCs w:val="20"/>
                <w:color w:val="auto"/>
              </w:rPr>
            </w:pPr>
            <w:r>
              <w:rPr>
                <w:rFonts w:ascii="Arial" w:cs="Arial" w:eastAsia="Arial" w:hAnsi="Arial"/>
                <w:sz w:val="19"/>
                <w:szCs w:val="19"/>
                <w:color w:val="auto"/>
              </w:rPr>
              <w:t>Other nonoperating (income) and expenses, net</w:t>
            </w:r>
          </w:p>
        </w:tc>
      </w:tr>
      <w:tr>
        <w:trPr>
          <w:trHeight w:val="229"/>
        </w:trPr>
        <w:tc>
          <w:tcPr>
            <w:tcW w:w="2940" w:type="dxa"/>
            <w:vAlign w:val="bottom"/>
          </w:tcPr>
          <w:p>
            <w:pPr>
              <w:ind w:left="260"/>
              <w:spacing w:after="0"/>
              <w:rPr>
                <w:sz w:val="20"/>
                <w:szCs w:val="20"/>
                <w:color w:val="auto"/>
              </w:rPr>
            </w:pPr>
            <w:r>
              <w:rPr>
                <w:rFonts w:ascii="Arial" w:cs="Arial" w:eastAsia="Arial" w:hAnsi="Arial"/>
                <w:sz w:val="19"/>
                <w:szCs w:val="19"/>
                <w:color w:val="auto"/>
              </w:rPr>
              <w:t>Tax benefit</w:t>
            </w: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9"/>
                <w:szCs w:val="19"/>
                <w:color w:val="auto"/>
              </w:rPr>
              <w:t>(0.7)</w:t>
            </w:r>
          </w:p>
        </w:tc>
        <w:tc>
          <w:tcPr>
            <w:tcW w:w="9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9"/>
                <w:szCs w:val="19"/>
                <w:color w:val="auto"/>
              </w:rPr>
              <w:t>(0.8)</w:t>
            </w:r>
          </w:p>
        </w:tc>
        <w:tc>
          <w:tcPr>
            <w:tcW w:w="4480" w:type="dxa"/>
            <w:vAlign w:val="bottom"/>
          </w:tcPr>
          <w:p>
            <w:pPr>
              <w:ind w:left="100"/>
              <w:spacing w:after="0"/>
              <w:rPr>
                <w:sz w:val="20"/>
                <w:szCs w:val="20"/>
                <w:color w:val="auto"/>
              </w:rPr>
            </w:pPr>
            <w:r>
              <w:rPr>
                <w:rFonts w:ascii="Arial" w:cs="Arial" w:eastAsia="Arial" w:hAnsi="Arial"/>
                <w:sz w:val="19"/>
                <w:szCs w:val="19"/>
                <w:color w:val="auto"/>
              </w:rPr>
              <w:t>Income tax expense</w:t>
            </w:r>
          </w:p>
        </w:tc>
      </w:tr>
      <w:tr>
        <w:trPr>
          <w:trHeight w:val="223"/>
        </w:trPr>
        <w:tc>
          <w:tcPr>
            <w:tcW w:w="29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06"/>
              <w:spacing w:after="0"/>
              <w:rPr>
                <w:sz w:val="20"/>
                <w:szCs w:val="20"/>
                <w:color w:val="auto"/>
              </w:rPr>
            </w:pPr>
            <w:r>
              <w:rPr>
                <w:rFonts w:ascii="Arial" w:cs="Arial" w:eastAsia="Arial" w:hAnsi="Arial"/>
                <w:sz w:val="19"/>
                <w:szCs w:val="19"/>
                <w:color w:val="auto"/>
                <w:w w:val="75"/>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6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4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bl>
    <w:p>
      <w:pPr>
        <w:spacing w:after="0" w:line="19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Earnings per Common Share</w:t>
      </w:r>
    </w:p>
    <w:p>
      <w:pPr>
        <w:spacing w:after="0" w:line="114" w:lineRule="exact"/>
        <w:rPr>
          <w:sz w:val="20"/>
          <w:szCs w:val="20"/>
          <w:color w:val="auto"/>
        </w:rPr>
      </w:pPr>
    </w:p>
    <w:p>
      <w:pPr>
        <w:jc w:val="both"/>
        <w:ind w:left="380" w:right="80"/>
        <w:spacing w:after="0" w:line="256" w:lineRule="auto"/>
        <w:rPr>
          <w:sz w:val="20"/>
          <w:szCs w:val="20"/>
          <w:color w:val="auto"/>
        </w:rPr>
      </w:pPr>
      <w:r>
        <w:rPr>
          <w:rFonts w:ascii="Arial" w:cs="Arial" w:eastAsia="Arial" w:hAnsi="Arial"/>
          <w:sz w:val="19"/>
          <w:szCs w:val="19"/>
          <w:color w:val="auto"/>
        </w:rPr>
        <w:t>The numerator for basic and diluted earnings per common share is net earnings attributable to Martin Marietta reduced by dividends and undistributed earnings attributable to certain of the Company’s stock-based compensation.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 For the three months ended March 31, 2021 and 2020, the diluted per-share computations reflect the number of common shares outstanding to include the number of additional shares that would have been outstanding if the potentially dilutive common shares had been issued.</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reconciles the numerator and denominator for basic and diluted earnings per common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00" w:type="dxa"/>
            <w:vAlign w:val="bottom"/>
            <w:gridSpan w:val="3"/>
          </w:tcPr>
          <w:p>
            <w:pPr>
              <w:jc w:val="center"/>
              <w:spacing w:after="0"/>
              <w:rPr>
                <w:sz w:val="20"/>
                <w:szCs w:val="20"/>
                <w:color w:val="auto"/>
              </w:rPr>
            </w:pPr>
            <w:r>
              <w:rPr>
                <w:rFonts w:ascii="Arial" w:cs="Arial" w:eastAsia="Arial" w:hAnsi="Arial"/>
                <w:sz w:val="20"/>
                <w:szCs w:val="20"/>
                <w:color w:val="auto"/>
                <w:w w:val="88"/>
              </w:rPr>
              <w:t>Three Months Ended</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6"/>
        </w:trPr>
        <w:tc>
          <w:tcPr>
            <w:tcW w:w="71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2"/>
              </w:rPr>
              <w:t>March 31,</w:t>
            </w: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71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w w:val="85"/>
              </w:rPr>
              <w:t>2020</w:t>
            </w:r>
          </w:p>
        </w:tc>
        <w:tc>
          <w:tcPr>
            <w:tcW w:w="120" w:type="dxa"/>
            <w:vAlign w:val="bottom"/>
          </w:tcPr>
          <w:p>
            <w:pPr>
              <w:spacing w:after="0"/>
              <w:rPr>
                <w:sz w:val="20"/>
                <w:szCs w:val="20"/>
                <w:color w:val="auto"/>
              </w:rPr>
            </w:pPr>
          </w:p>
        </w:tc>
      </w:tr>
      <w:tr>
        <w:trPr>
          <w:trHeight w:val="236"/>
        </w:trPr>
        <w:tc>
          <w:tcPr>
            <w:tcW w:w="7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00" w:type="dxa"/>
            <w:vAlign w:val="bottom"/>
            <w:gridSpan w:val="3"/>
          </w:tcPr>
          <w:p>
            <w:pPr>
              <w:jc w:val="center"/>
              <w:spacing w:after="0"/>
              <w:rPr>
                <w:sz w:val="20"/>
                <w:szCs w:val="20"/>
                <w:color w:val="auto"/>
              </w:rPr>
            </w:pPr>
            <w:r>
              <w:rPr>
                <w:rFonts w:ascii="Arial" w:cs="Arial" w:eastAsia="Arial" w:hAnsi="Arial"/>
                <w:sz w:val="20"/>
                <w:szCs w:val="20"/>
                <w:i w:val="1"/>
                <w:iCs w:val="1"/>
                <w:color w:val="auto"/>
                <w:w w:val="99"/>
              </w:rPr>
              <w:t>(In Millions)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718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w:t>
            </w:r>
          </w:p>
        </w:tc>
        <w:tc>
          <w:tcPr>
            <w:tcW w:w="1120" w:type="dxa"/>
            <w:vAlign w:val="bottom"/>
            <w:shd w:val="clear" w:color="auto" w:fill="CFF0FC"/>
          </w:tcPr>
          <w:p>
            <w:pPr>
              <w:jc w:val="right"/>
              <w:ind w:right="921"/>
              <w:spacing w:after="0"/>
              <w:rPr>
                <w:sz w:val="20"/>
                <w:szCs w:val="20"/>
                <w:color w:val="auto"/>
              </w:rPr>
            </w:pPr>
            <w:r>
              <w:rPr>
                <w:rFonts w:ascii="Arial" w:cs="Arial" w:eastAsia="Arial" w:hAnsi="Arial"/>
                <w:sz w:val="20"/>
                <w:szCs w:val="2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65.3</w:t>
            </w:r>
          </w:p>
        </w:tc>
        <w:tc>
          <w:tcPr>
            <w:tcW w:w="1000" w:type="dxa"/>
            <w:vAlign w:val="bottom"/>
            <w:gridSpan w:val="2"/>
            <w:shd w:val="clear" w:color="auto" w:fill="CFF0FC"/>
          </w:tcPr>
          <w:p>
            <w:pPr>
              <w:jc w:val="right"/>
              <w:ind w:right="6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25.9</w:t>
            </w:r>
          </w:p>
        </w:tc>
        <w:tc>
          <w:tcPr>
            <w:tcW w:w="120" w:type="dxa"/>
            <w:vAlign w:val="bottom"/>
            <w:shd w:val="clear" w:color="auto" w:fill="CFF0FC"/>
          </w:tcPr>
          <w:p>
            <w:pPr>
              <w:spacing w:after="0"/>
              <w:rPr>
                <w:sz w:val="21"/>
                <w:szCs w:val="21"/>
                <w:color w:val="auto"/>
              </w:rPr>
            </w:pPr>
          </w:p>
        </w:tc>
      </w:tr>
      <w:tr>
        <w:trPr>
          <w:trHeight w:val="226"/>
        </w:trPr>
        <w:tc>
          <w:tcPr>
            <w:tcW w:w="7180" w:type="dxa"/>
            <w:vAlign w:val="bottom"/>
          </w:tcPr>
          <w:p>
            <w:pPr>
              <w:spacing w:after="0" w:line="227" w:lineRule="exact"/>
              <w:rPr>
                <w:sz w:val="20"/>
                <w:szCs w:val="20"/>
                <w:color w:val="auto"/>
              </w:rPr>
            </w:pPr>
            <w:r>
              <w:rPr>
                <w:rFonts w:ascii="Arial" w:cs="Arial" w:eastAsia="Arial" w:hAnsi="Arial"/>
                <w:sz w:val="20"/>
                <w:szCs w:val="20"/>
                <w:color w:val="auto"/>
              </w:rPr>
              <w:t>Less: Distributed and undistributed earnings</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7180" w:type="dxa"/>
            <w:vAlign w:val="bottom"/>
          </w:tcPr>
          <w:p>
            <w:pPr>
              <w:ind w:left="160"/>
              <w:spacing w:after="0"/>
              <w:rPr>
                <w:sz w:val="20"/>
                <w:szCs w:val="20"/>
                <w:color w:val="auto"/>
              </w:rPr>
            </w:pPr>
            <w:r>
              <w:rPr>
                <w:rFonts w:ascii="Arial" w:cs="Arial" w:eastAsia="Arial" w:hAnsi="Arial"/>
                <w:sz w:val="20"/>
                <w:szCs w:val="20"/>
                <w:color w:val="auto"/>
              </w:rPr>
              <w:t>attributable to unvested awards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0.1</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r>
      <w:tr>
        <w:trPr>
          <w:trHeight w:val="220"/>
        </w:trPr>
        <w:tc>
          <w:tcPr>
            <w:tcW w:w="7180" w:type="dxa"/>
            <w:vAlign w:val="bottom"/>
            <w:tcBorders>
              <w:top w:val="single" w:sz="8" w:color="CFF0FC"/>
            </w:tcBorders>
            <w:shd w:val="clear" w:color="auto" w:fill="CFF0FC"/>
          </w:tcPr>
          <w:p>
            <w:pPr>
              <w:spacing w:after="0" w:line="220" w:lineRule="exact"/>
              <w:rPr>
                <w:sz w:val="20"/>
                <w:szCs w:val="20"/>
                <w:color w:val="auto"/>
              </w:rPr>
            </w:pPr>
            <w:r>
              <w:rPr>
                <w:rFonts w:ascii="Arial" w:cs="Arial" w:eastAsia="Arial" w:hAnsi="Arial"/>
                <w:sz w:val="20"/>
                <w:szCs w:val="20"/>
                <w:color w:val="auto"/>
              </w:rPr>
              <w:t>Basic and diluted net earnings available to common</w:t>
            </w:r>
          </w:p>
        </w:tc>
        <w:tc>
          <w:tcPr>
            <w:tcW w:w="1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46"/>
        </w:trPr>
        <w:tc>
          <w:tcPr>
            <w:tcW w:w="71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shareholders attributable to Martin Marietta</w:t>
            </w:r>
          </w:p>
        </w:tc>
        <w:tc>
          <w:tcPr>
            <w:tcW w:w="1120" w:type="dxa"/>
            <w:vAlign w:val="bottom"/>
            <w:shd w:val="clear" w:color="auto" w:fill="CFF0FC"/>
          </w:tcPr>
          <w:p>
            <w:pPr>
              <w:jc w:val="right"/>
              <w:ind w:right="921"/>
              <w:spacing w:after="0"/>
              <w:rPr>
                <w:sz w:val="20"/>
                <w:szCs w:val="20"/>
                <w:color w:val="auto"/>
              </w:rPr>
            </w:pPr>
            <w:r>
              <w:rPr>
                <w:rFonts w:ascii="Arial" w:cs="Arial" w:eastAsia="Arial" w:hAnsi="Arial"/>
                <w:sz w:val="20"/>
                <w:szCs w:val="2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65.2</w:t>
            </w:r>
          </w:p>
        </w:tc>
        <w:tc>
          <w:tcPr>
            <w:tcW w:w="1000" w:type="dxa"/>
            <w:vAlign w:val="bottom"/>
            <w:gridSpan w:val="2"/>
            <w:shd w:val="clear" w:color="auto" w:fill="CFF0FC"/>
          </w:tcPr>
          <w:p>
            <w:pPr>
              <w:jc w:val="right"/>
              <w:ind w:right="6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25.9</w:t>
            </w:r>
          </w:p>
        </w:tc>
        <w:tc>
          <w:tcPr>
            <w:tcW w:w="120" w:type="dxa"/>
            <w:vAlign w:val="bottom"/>
            <w:shd w:val="clear" w:color="auto" w:fill="CFF0FC"/>
          </w:tcPr>
          <w:p>
            <w:pPr>
              <w:spacing w:after="0"/>
              <w:rPr>
                <w:sz w:val="21"/>
                <w:szCs w:val="21"/>
                <w:color w:val="auto"/>
              </w:rPr>
            </w:pPr>
          </w:p>
        </w:tc>
      </w:tr>
      <w:tr>
        <w:trPr>
          <w:trHeight w:val="20"/>
        </w:trPr>
        <w:tc>
          <w:tcPr>
            <w:tcW w:w="71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23"/>
        </w:trPr>
        <w:tc>
          <w:tcPr>
            <w:tcW w:w="7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7180" w:type="dxa"/>
            <w:vAlign w:val="bottom"/>
            <w:shd w:val="clear" w:color="auto" w:fill="CFF0FC"/>
          </w:tcPr>
          <w:p>
            <w:pPr>
              <w:spacing w:after="0"/>
              <w:rPr>
                <w:sz w:val="20"/>
                <w:szCs w:val="20"/>
                <w:color w:val="auto"/>
              </w:rPr>
            </w:pPr>
            <w:r>
              <w:rPr>
                <w:rFonts w:ascii="Arial" w:cs="Arial" w:eastAsia="Arial" w:hAnsi="Arial"/>
                <w:sz w:val="20"/>
                <w:szCs w:val="20"/>
                <w:color w:val="auto"/>
              </w:rPr>
              <w:t>Basic weighted-average common shares outstanding</w:t>
            </w:r>
          </w:p>
        </w:tc>
        <w:tc>
          <w:tcPr>
            <w:tcW w:w="1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62.3</w:t>
            </w: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62.3</w:t>
            </w:r>
          </w:p>
        </w:tc>
        <w:tc>
          <w:tcPr>
            <w:tcW w:w="120" w:type="dxa"/>
            <w:vAlign w:val="bottom"/>
            <w:shd w:val="clear" w:color="auto" w:fill="CFF0FC"/>
          </w:tcPr>
          <w:p>
            <w:pPr>
              <w:spacing w:after="0"/>
              <w:rPr>
                <w:sz w:val="21"/>
                <w:szCs w:val="21"/>
                <w:color w:val="auto"/>
              </w:rPr>
            </w:pPr>
          </w:p>
        </w:tc>
      </w:tr>
      <w:tr>
        <w:trPr>
          <w:trHeight w:val="243"/>
        </w:trPr>
        <w:tc>
          <w:tcPr>
            <w:tcW w:w="71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Effect of dilutive employee and director awards</w:t>
            </w:r>
          </w:p>
        </w:tc>
        <w:tc>
          <w:tcPr>
            <w:tcW w:w="1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300" w:type="dxa"/>
            <w:vAlign w:val="bottom"/>
            <w:tcBorders>
              <w:bottom w:val="single" w:sz="8" w:color="CFF0FC"/>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120" w:type="dxa"/>
            <w:vAlign w:val="bottom"/>
            <w:tcBorders>
              <w:bottom w:val="single" w:sz="8" w:color="CFF0FC"/>
            </w:tcBorders>
          </w:tcPr>
          <w:p>
            <w:pPr>
              <w:spacing w:after="0"/>
              <w:rPr>
                <w:sz w:val="21"/>
                <w:szCs w:val="21"/>
                <w:color w:val="auto"/>
              </w:rPr>
            </w:pPr>
          </w:p>
        </w:tc>
      </w:tr>
      <w:tr>
        <w:trPr>
          <w:trHeight w:val="237"/>
        </w:trPr>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Diluted weighted-average common shares outstanding</w:t>
            </w:r>
          </w:p>
        </w:tc>
        <w:tc>
          <w:tcPr>
            <w:tcW w:w="11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62.5</w:t>
            </w:r>
          </w:p>
        </w:tc>
        <w:tc>
          <w:tcPr>
            <w:tcW w:w="30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62.5</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Page 10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Restricted Cash</w:t>
      </w:r>
    </w:p>
    <w:p>
      <w:pPr>
        <w:spacing w:after="0" w:line="114" w:lineRule="exact"/>
        <w:rPr>
          <w:sz w:val="20"/>
          <w:szCs w:val="20"/>
          <w:color w:val="auto"/>
        </w:rPr>
      </w:pPr>
    </w:p>
    <w:p>
      <w:pPr>
        <w:jc w:val="both"/>
        <w:ind w:left="380"/>
        <w:spacing w:after="0" w:line="243" w:lineRule="auto"/>
        <w:rPr>
          <w:sz w:val="20"/>
          <w:szCs w:val="20"/>
          <w:color w:val="auto"/>
        </w:rPr>
      </w:pPr>
      <w:r>
        <w:rPr>
          <w:rFonts w:ascii="Arial" w:cs="Arial" w:eastAsia="Arial" w:hAnsi="Arial"/>
          <w:sz w:val="20"/>
          <w:szCs w:val="20"/>
          <w:color w:val="auto"/>
        </w:rPr>
        <w:t>As of March 31, 2021 and December 31, 2020, the Company had restricted cash of $40.9 million and $97.1 million, respectively, which is invested in an account designated for the purchase of like-kind exchange replacement assets under Section 1031 of the Internal Revenue Code and related IRS procedures (Section 1031). The Company is restricted from utilizing the cash for purposes other than the purchase of the qualified assets for a designated period from receipt of the proceeds from the sale of the exchanged property. Any unused cash at the end of the designated period will be transferred to unrestricted accounts of the Company and can then be used for general corporate purposes. The Company has until June 15, 2021 to use the restricted cash to purchase qualified assets under Section 1031.</w:t>
      </w:r>
    </w:p>
    <w:p>
      <w:pPr>
        <w:spacing w:after="0" w:line="85"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 xml:space="preserve">In connection with Accounting Standards Update 2016-18, </w:t>
      </w:r>
      <w:r>
        <w:rPr>
          <w:rFonts w:ascii="Arial" w:cs="Arial" w:eastAsia="Arial" w:hAnsi="Arial"/>
          <w:sz w:val="20"/>
          <w:szCs w:val="20"/>
          <w:i w:val="1"/>
          <w:iCs w:val="1"/>
          <w:color w:val="auto"/>
        </w:rPr>
        <w:t>Statement of Cash Flows (Topic 230),</w:t>
      </w:r>
      <w:r>
        <w:rPr>
          <w:rFonts w:ascii="Arial" w:cs="Arial" w:eastAsia="Arial" w:hAnsi="Arial"/>
          <w:sz w:val="20"/>
          <w:szCs w:val="20"/>
          <w:color w:val="auto"/>
        </w:rPr>
        <w:t xml:space="preserve"> the statement of cash flows reflects cash flow changes and balances for cash, cash equivalents and restricted cash on an aggregated basis.</w:t>
      </w:r>
    </w:p>
    <w:p>
      <w:pPr>
        <w:spacing w:after="0" w:line="69" w:lineRule="exact"/>
        <w:rPr>
          <w:sz w:val="20"/>
          <w:szCs w:val="20"/>
          <w:color w:val="auto"/>
        </w:rPr>
      </w:pPr>
    </w:p>
    <w:p>
      <w:pPr>
        <w:jc w:val="both"/>
        <w:ind w:left="380" w:right="20"/>
        <w:spacing w:after="0" w:line="260" w:lineRule="auto"/>
        <w:rPr>
          <w:sz w:val="20"/>
          <w:szCs w:val="20"/>
          <w:color w:val="auto"/>
        </w:rPr>
      </w:pPr>
      <w:r>
        <w:rPr>
          <w:rFonts w:ascii="Arial" w:cs="Arial" w:eastAsia="Arial" w:hAnsi="Arial"/>
          <w:sz w:val="20"/>
          <w:szCs w:val="20"/>
          <w:color w:val="auto"/>
        </w:rPr>
        <w:t>The following table reconciles cash, cash equivalents and restricted cash as reported on the consolidated balance sheets to the aggregated amounts presented on the consolidated statements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March 31,</w:t>
            </w: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December 31,</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5760" w:type="dxa"/>
            <w:vAlign w:val="bottom"/>
          </w:tcPr>
          <w:p>
            <w:pPr>
              <w:spacing w:after="0"/>
              <w:rPr>
                <w:sz w:val="21"/>
                <w:szCs w:val="21"/>
                <w:color w:val="auto"/>
              </w:rPr>
            </w:pPr>
          </w:p>
        </w:tc>
        <w:tc>
          <w:tcPr>
            <w:tcW w:w="2480" w:type="dxa"/>
            <w:vAlign w:val="bottom"/>
            <w:gridSpan w:val="2"/>
          </w:tcPr>
          <w:p>
            <w:pPr>
              <w:jc w:val="right"/>
              <w:ind w:right="181"/>
              <w:spacing w:after="0"/>
              <w:rPr>
                <w:sz w:val="20"/>
                <w:szCs w:val="20"/>
                <w:color w:val="auto"/>
              </w:rPr>
            </w:pPr>
            <w:r>
              <w:rPr>
                <w:rFonts w:ascii="Arial" w:cs="Arial" w:eastAsia="Arial" w:hAnsi="Arial"/>
                <w:sz w:val="20"/>
                <w:szCs w:val="20"/>
                <w:color w:val="auto"/>
              </w:rPr>
              <w:t>2021</w:t>
            </w:r>
          </w:p>
        </w:tc>
        <w:tc>
          <w:tcPr>
            <w:tcW w:w="520" w:type="dxa"/>
            <w:vAlign w:val="bottom"/>
          </w:tcPr>
          <w:p>
            <w:pPr>
              <w:spacing w:after="0"/>
              <w:rPr>
                <w:sz w:val="21"/>
                <w:szCs w:val="21"/>
                <w:color w:val="auto"/>
              </w:rPr>
            </w:pPr>
          </w:p>
        </w:tc>
        <w:tc>
          <w:tcPr>
            <w:tcW w:w="1920" w:type="dxa"/>
            <w:vAlign w:val="bottom"/>
            <w:gridSpan w:val="2"/>
          </w:tcPr>
          <w:p>
            <w:pPr>
              <w:jc w:val="right"/>
              <w:ind w:right="261"/>
              <w:spacing w:after="0"/>
              <w:rPr>
                <w:sz w:val="20"/>
                <w:szCs w:val="20"/>
                <w:color w:val="auto"/>
              </w:rPr>
            </w:pPr>
            <w:r>
              <w:rPr>
                <w:rFonts w:ascii="Arial" w:cs="Arial" w:eastAsia="Arial" w:hAnsi="Arial"/>
                <w:sz w:val="20"/>
                <w:szCs w:val="20"/>
                <w:color w:val="auto"/>
              </w:rPr>
              <w:t>2020</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900" w:type="dxa"/>
            <w:vAlign w:val="bottom"/>
            <w:tcBorders>
              <w:top w:val="single" w:sz="8" w:color="auto"/>
            </w:tcBorders>
            <w:gridSpan w:val="4"/>
          </w:tcPr>
          <w:p>
            <w:pPr>
              <w:jc w:val="right"/>
              <w:ind w:right="821"/>
              <w:spacing w:after="0"/>
              <w:rPr>
                <w:sz w:val="20"/>
                <w:szCs w:val="20"/>
                <w:color w:val="auto"/>
              </w:rPr>
            </w:pPr>
            <w:r>
              <w:rPr>
                <w:rFonts w:ascii="Arial" w:cs="Arial" w:eastAsia="Arial" w:hAnsi="Arial"/>
                <w:sz w:val="20"/>
                <w:szCs w:val="20"/>
                <w:i w:val="1"/>
                <w:iCs w:val="1"/>
                <w:color w:val="auto"/>
              </w:rPr>
              <w:t>(Dollars in Millions)</w:t>
            </w: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Cash and cash equivalents</w:t>
            </w:r>
          </w:p>
        </w:tc>
        <w:tc>
          <w:tcPr>
            <w:tcW w:w="2480" w:type="dxa"/>
            <w:vAlign w:val="bottom"/>
            <w:gridSpan w:val="2"/>
            <w:shd w:val="clear" w:color="auto" w:fill="CFF0FC"/>
          </w:tcPr>
          <w:p>
            <w:pPr>
              <w:jc w:val="right"/>
              <w:ind w:right="12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313.9</w:t>
            </w:r>
          </w:p>
        </w:tc>
        <w:tc>
          <w:tcPr>
            <w:tcW w:w="1920" w:type="dxa"/>
            <w:vAlign w:val="bottom"/>
            <w:gridSpan w:val="2"/>
            <w:shd w:val="clear" w:color="auto" w:fill="CFF0FC"/>
          </w:tcPr>
          <w:p>
            <w:pPr>
              <w:jc w:val="right"/>
              <w:ind w:right="1361"/>
              <w:spacing w:after="0"/>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3"/>
              </w:rPr>
              <w:t>207.3</w:t>
            </w:r>
          </w:p>
        </w:tc>
        <w:tc>
          <w:tcPr>
            <w:tcW w:w="100" w:type="dxa"/>
            <w:vAlign w:val="bottom"/>
            <w:shd w:val="clear" w:color="auto" w:fill="CFF0FC"/>
          </w:tcPr>
          <w:p>
            <w:pPr>
              <w:spacing w:after="0"/>
              <w:rPr>
                <w:sz w:val="21"/>
                <w:szCs w:val="21"/>
                <w:color w:val="auto"/>
              </w:rPr>
            </w:pPr>
          </w:p>
        </w:tc>
      </w:tr>
      <w:tr>
        <w:trPr>
          <w:trHeight w:val="243"/>
        </w:trPr>
        <w:tc>
          <w:tcPr>
            <w:tcW w:w="57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Restricted cash</w:t>
            </w:r>
          </w:p>
        </w:tc>
        <w:tc>
          <w:tcPr>
            <w:tcW w:w="1020" w:type="dxa"/>
            <w:vAlign w:val="bottom"/>
            <w:tcBorders>
              <w:bottom w:val="single" w:sz="8" w:color="CFF0FC"/>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40.9</w:t>
            </w:r>
          </w:p>
        </w:tc>
        <w:tc>
          <w:tcPr>
            <w:tcW w:w="360" w:type="dxa"/>
            <w:vAlign w:val="bottom"/>
            <w:tcBorders>
              <w:bottom w:val="single" w:sz="8" w:color="CFF0FC"/>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97.1</w:t>
            </w:r>
          </w:p>
        </w:tc>
        <w:tc>
          <w:tcPr>
            <w:tcW w:w="100" w:type="dxa"/>
            <w:vAlign w:val="bottom"/>
            <w:tcBorders>
              <w:bottom w:val="single" w:sz="8" w:color="CFF0FC"/>
            </w:tcBorders>
          </w:tcPr>
          <w:p>
            <w:pPr>
              <w:spacing w:after="0"/>
              <w:rPr>
                <w:sz w:val="21"/>
                <w:szCs w:val="21"/>
                <w:color w:val="auto"/>
              </w:rPr>
            </w:pPr>
          </w:p>
        </w:tc>
      </w:tr>
      <w:tr>
        <w:trPr>
          <w:trHeight w:val="220"/>
        </w:trPr>
        <w:tc>
          <w:tcPr>
            <w:tcW w:w="576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Total cash, cash equivalents and restricted cash presented in</w:t>
            </w:r>
          </w:p>
        </w:tc>
        <w:tc>
          <w:tcPr>
            <w:tcW w:w="10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7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the consolidated statements of cash flows</w:t>
            </w:r>
          </w:p>
        </w:tc>
        <w:tc>
          <w:tcPr>
            <w:tcW w:w="2480" w:type="dxa"/>
            <w:vAlign w:val="bottom"/>
            <w:gridSpan w:val="2"/>
            <w:shd w:val="clear" w:color="auto" w:fill="CFF0FC"/>
          </w:tcPr>
          <w:p>
            <w:pPr>
              <w:jc w:val="right"/>
              <w:ind w:right="12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354.8</w:t>
            </w:r>
          </w:p>
        </w:tc>
        <w:tc>
          <w:tcPr>
            <w:tcW w:w="1920" w:type="dxa"/>
            <w:vAlign w:val="bottom"/>
            <w:gridSpan w:val="2"/>
            <w:shd w:val="clear" w:color="auto" w:fill="CFF0FC"/>
          </w:tcPr>
          <w:p>
            <w:pPr>
              <w:jc w:val="right"/>
              <w:ind w:right="1361"/>
              <w:spacing w:after="0"/>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3"/>
              </w:rPr>
              <w:t>304.4</w:t>
            </w:r>
          </w:p>
        </w:tc>
        <w:tc>
          <w:tcPr>
            <w:tcW w:w="100" w:type="dxa"/>
            <w:vAlign w:val="bottom"/>
            <w:shd w:val="clear" w:color="auto" w:fill="CFF0FC"/>
          </w:tcPr>
          <w:p>
            <w:pPr>
              <w:spacing w:after="0"/>
              <w:rPr>
                <w:sz w:val="21"/>
                <w:szCs w:val="21"/>
                <w:color w:val="auto"/>
              </w:rPr>
            </w:pPr>
          </w:p>
        </w:tc>
      </w:tr>
      <w:tr>
        <w:trPr>
          <w:trHeight w:val="20"/>
        </w:trPr>
        <w:tc>
          <w:tcPr>
            <w:tcW w:w="57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80" w:hanging="372"/>
        <w:spacing w:after="0"/>
        <w:tabs>
          <w:tab w:leader="none" w:pos="3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w:t>
      </w:r>
    </w:p>
    <w:p>
      <w:pPr>
        <w:spacing w:after="0" w:line="113" w:lineRule="exact"/>
        <w:rPr>
          <w:rFonts w:ascii="Arial" w:cs="Arial" w:eastAsia="Arial" w:hAnsi="Arial"/>
          <w:sz w:val="20"/>
          <w:szCs w:val="20"/>
          <w:b w:val="1"/>
          <w:bCs w:val="1"/>
          <w:color w:val="auto"/>
        </w:rPr>
      </w:pPr>
    </w:p>
    <w:p>
      <w:pPr>
        <w:jc w:val="both"/>
        <w:ind w:left="380"/>
        <w:spacing w:after="0" w:line="278" w:lineRule="auto"/>
        <w:rPr>
          <w:rFonts w:ascii="Arial" w:cs="Arial" w:eastAsia="Arial" w:hAnsi="Arial"/>
          <w:sz w:val="20"/>
          <w:szCs w:val="20"/>
          <w:b w:val="1"/>
          <w:bCs w:val="1"/>
          <w:color w:val="auto"/>
        </w:rPr>
      </w:pPr>
      <w:r>
        <w:rPr>
          <w:rFonts w:ascii="Arial" w:cs="Arial" w:eastAsia="Arial" w:hAnsi="Arial"/>
          <w:sz w:val="18"/>
          <w:szCs w:val="18"/>
          <w:color w:val="auto"/>
        </w:rPr>
        <w:t>Total revenues include sales of products and services to customers, net of any discounts or allowances, and freight revenues. Product revenues are recognized when control of the promised good is transferred to the customer, typically when finished products are shipped. Intersegment and interproduct revenues are eliminated in consolidation. Service revenues are derived from the paving business and recognized using the percentage-of-completion method under the cost-to-cost approach. Freight revenues reflect delivery arranged by the Company using a third party on behalf of the customer and are recognized consistently with the timing of the product revenues.</w:t>
      </w:r>
    </w:p>
    <w:p>
      <w:pPr>
        <w:spacing w:after="0" w:line="56" w:lineRule="exact"/>
        <w:rPr>
          <w:rFonts w:ascii="Arial" w:cs="Arial" w:eastAsia="Arial" w:hAnsi="Arial"/>
          <w:sz w:val="20"/>
          <w:szCs w:val="20"/>
          <w:b w:val="1"/>
          <w:bCs w:val="1"/>
          <w:color w:val="auto"/>
        </w:rPr>
      </w:pPr>
    </w:p>
    <w:p>
      <w:pPr>
        <w:jc w:val="both"/>
        <w:ind w:left="380"/>
        <w:spacing w:after="0" w:line="260" w:lineRule="auto"/>
        <w:rPr>
          <w:rFonts w:ascii="Arial" w:cs="Arial" w:eastAsia="Arial" w:hAnsi="Arial"/>
          <w:sz w:val="20"/>
          <w:szCs w:val="20"/>
          <w:b w:val="1"/>
          <w:bCs w:val="1"/>
          <w:color w:val="auto"/>
        </w:rPr>
      </w:pPr>
      <w:r>
        <w:rPr>
          <w:rFonts w:ascii="Arial" w:cs="Arial" w:eastAsia="Arial" w:hAnsi="Arial"/>
          <w:sz w:val="19"/>
          <w:szCs w:val="19"/>
          <w:b w:val="1"/>
          <w:bCs w:val="1"/>
          <w:i w:val="1"/>
          <w:iCs w:val="1"/>
          <w:color w:val="auto"/>
        </w:rPr>
        <w:t xml:space="preserve">Performance Obligations. </w:t>
      </w:r>
      <w:r>
        <w:rPr>
          <w:rFonts w:ascii="Arial" w:cs="Arial" w:eastAsia="Arial" w:hAnsi="Arial"/>
          <w:sz w:val="19"/>
          <w:szCs w:val="19"/>
          <w:color w:val="auto"/>
        </w:rPr>
        <w:t>Performance obligations are contractual promises to transfer or provide a distinct good or service for a stated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price. The Company’s product sales agreements are single-performance obligations that are satisfied at a point in time. Performance obligations within paving service agreements are satisfied over time, primarily ranging from one day to two years. For product revenues and freight revenues, customer payment terms are generally 30 days from invoice date. Customer payments for the paving operations are based on a contractual billing schedule and are due 30 days from invoice date.</w:t>
      </w:r>
    </w:p>
    <w:p>
      <w:pPr>
        <w:spacing w:after="0" w:line="72" w:lineRule="exact"/>
        <w:rPr>
          <w:rFonts w:ascii="Arial" w:cs="Arial" w:eastAsia="Arial" w:hAnsi="Arial"/>
          <w:sz w:val="20"/>
          <w:szCs w:val="20"/>
          <w:b w:val="1"/>
          <w:bCs w:val="1"/>
          <w:color w:val="auto"/>
        </w:rPr>
      </w:pPr>
    </w:p>
    <w:p>
      <w:pPr>
        <w:jc w:val="both"/>
        <w:ind w:left="380" w:right="2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Future revenues from unsatisfied performance obligations at March 31, 2021 and 2020 were $172.8 million and $212.7 million, respectively, where the remaining periods to complete these obligations ranged from one month to 19 months and one month to 21 months,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 xml:space="preserve">Revenue by Category. </w:t>
      </w:r>
      <w:r>
        <w:rPr>
          <w:rFonts w:ascii="Arial" w:cs="Arial" w:eastAsia="Arial" w:hAnsi="Arial"/>
          <w:sz w:val="19"/>
          <w:szCs w:val="19"/>
          <w:color w:val="auto"/>
        </w:rPr>
        <w:t>The following table presents the Company’s total revenues by category for each reportable segment.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60" w:type="dxa"/>
            <w:vAlign w:val="bottom"/>
            <w:gridSpan w:val="4"/>
          </w:tcPr>
          <w:p>
            <w:pPr>
              <w:jc w:val="center"/>
              <w:spacing w:after="0"/>
              <w:rPr>
                <w:sz w:val="20"/>
                <w:szCs w:val="20"/>
                <w:color w:val="auto"/>
              </w:rPr>
            </w:pPr>
            <w:r>
              <w:rPr>
                <w:rFonts w:ascii="Arial" w:cs="Arial" w:eastAsia="Arial" w:hAnsi="Arial"/>
                <w:sz w:val="20"/>
                <w:szCs w:val="20"/>
                <w:color w:val="auto"/>
                <w:w w:val="88"/>
              </w:rPr>
              <w:t>Three Months Ended</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6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90"/>
              </w:rPr>
              <w:t>March 31, 2021</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61"/>
              <w:spacing w:after="0" w:line="220" w:lineRule="exact"/>
              <w:rPr>
                <w:sz w:val="20"/>
                <w:szCs w:val="20"/>
                <w:color w:val="auto"/>
              </w:rPr>
            </w:pPr>
            <w:r>
              <w:rPr>
                <w:rFonts w:ascii="Arial" w:cs="Arial" w:eastAsia="Arial" w:hAnsi="Arial"/>
                <w:sz w:val="20"/>
                <w:szCs w:val="20"/>
                <w:color w:val="auto"/>
                <w:w w:val="86"/>
              </w:rPr>
              <w:t>Products and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right="61"/>
              <w:spacing w:after="0"/>
              <w:rPr>
                <w:sz w:val="20"/>
                <w:szCs w:val="20"/>
                <w:color w:val="auto"/>
              </w:rPr>
            </w:pPr>
            <w:r>
              <w:rPr>
                <w:rFonts w:ascii="Arial" w:cs="Arial" w:eastAsia="Arial" w:hAnsi="Arial"/>
                <w:sz w:val="20"/>
                <w:szCs w:val="20"/>
                <w:color w:val="auto"/>
                <w:w w:val="86"/>
              </w:rPr>
              <w:t>Services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20"/>
                <w:szCs w:val="20"/>
                <w:color w:val="auto"/>
                <w:w w:val="93"/>
              </w:rPr>
              <w:t>Freight</w:t>
            </w:r>
          </w:p>
        </w:tc>
        <w:tc>
          <w:tcPr>
            <w:tcW w:w="320" w:type="dxa"/>
            <w:vAlign w:val="bottom"/>
          </w:tcPr>
          <w:p>
            <w:pPr>
              <w:spacing w:after="0"/>
              <w:rPr>
                <w:sz w:val="21"/>
                <w:szCs w:val="21"/>
                <w:color w:val="auto"/>
              </w:rPr>
            </w:pPr>
          </w:p>
        </w:tc>
        <w:tc>
          <w:tcPr>
            <w:tcW w:w="1300" w:type="dxa"/>
            <w:vAlign w:val="bottom"/>
            <w:gridSpan w:val="2"/>
          </w:tcPr>
          <w:p>
            <w:pPr>
              <w:ind w:left="220"/>
              <w:spacing w:after="0"/>
              <w:rPr>
                <w:sz w:val="20"/>
                <w:szCs w:val="20"/>
                <w:color w:val="auto"/>
              </w:rPr>
            </w:pPr>
            <w:r>
              <w:rPr>
                <w:rFonts w:ascii="Arial" w:cs="Arial" w:eastAsia="Arial" w:hAnsi="Arial"/>
                <w:sz w:val="20"/>
                <w:szCs w:val="20"/>
                <w:color w:val="auto"/>
              </w:rPr>
              <w:t>Total</w:t>
            </w:r>
          </w:p>
        </w:tc>
      </w:tr>
      <w:tr>
        <w:trPr>
          <w:trHeight w:val="233"/>
        </w:trPr>
        <w:tc>
          <w:tcPr>
            <w:tcW w:w="60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4"/>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060" w:type="dxa"/>
            <w:vAlign w:val="bottom"/>
          </w:tcPr>
          <w:p>
            <w:pPr>
              <w:spacing w:after="0"/>
              <w:rPr>
                <w:sz w:val="20"/>
                <w:szCs w:val="20"/>
                <w:color w:val="auto"/>
              </w:rPr>
            </w:pPr>
            <w:r>
              <w:rPr>
                <w:rFonts w:ascii="Arial" w:cs="Arial" w:eastAsia="Arial" w:hAnsi="Arial"/>
                <w:sz w:val="20"/>
                <w:szCs w:val="20"/>
                <w:color w:val="auto"/>
              </w:rPr>
              <w:t>East Group</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372.5</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22.4</w:t>
            </w:r>
          </w:p>
        </w:tc>
        <w:tc>
          <w:tcPr>
            <w:tcW w:w="28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394.9</w:t>
            </w:r>
          </w:p>
        </w:tc>
        <w:tc>
          <w:tcPr>
            <w:tcW w:w="100" w:type="dxa"/>
            <w:vAlign w:val="bottom"/>
          </w:tcPr>
          <w:p>
            <w:pPr>
              <w:spacing w:after="0"/>
              <w:rPr>
                <w:sz w:val="21"/>
                <w:szCs w:val="21"/>
                <w:color w:val="auto"/>
              </w:rPr>
            </w:pPr>
          </w:p>
        </w:tc>
      </w:tr>
      <w:tr>
        <w:trPr>
          <w:trHeight w:val="243"/>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484.1</w:t>
            </w:r>
          </w:p>
        </w:tc>
        <w:tc>
          <w:tcPr>
            <w:tcW w:w="28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32.5</w:t>
            </w:r>
          </w:p>
        </w:tc>
        <w:tc>
          <w:tcPr>
            <w:tcW w:w="2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516.6</w:t>
            </w:r>
          </w:p>
        </w:tc>
        <w:tc>
          <w:tcPr>
            <w:tcW w:w="100" w:type="dxa"/>
            <w:vAlign w:val="bottom"/>
            <w:shd w:val="clear" w:color="auto" w:fill="CFF0FC"/>
          </w:tcPr>
          <w:p>
            <w:pPr>
              <w:spacing w:after="0"/>
              <w:rPr>
                <w:sz w:val="21"/>
                <w:szCs w:val="21"/>
                <w:color w:val="auto"/>
              </w:rPr>
            </w:pPr>
          </w:p>
        </w:tc>
      </w:tr>
      <w:tr>
        <w:trPr>
          <w:trHeight w:val="237"/>
        </w:trPr>
        <w:tc>
          <w:tcPr>
            <w:tcW w:w="606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856.6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54.9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911.5</w:t>
            </w:r>
          </w:p>
        </w:tc>
        <w:tc>
          <w:tcPr>
            <w:tcW w:w="100" w:type="dxa"/>
            <w:vAlign w:val="bottom"/>
          </w:tcPr>
          <w:p>
            <w:pPr>
              <w:spacing w:after="0"/>
              <w:rPr>
                <w:sz w:val="20"/>
                <w:szCs w:val="20"/>
                <w:color w:val="auto"/>
              </w:rPr>
            </w:pPr>
          </w:p>
        </w:tc>
      </w:tr>
      <w:tr>
        <w:trPr>
          <w:trHeight w:val="243"/>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65.3</w:t>
            </w:r>
          </w:p>
        </w:tc>
        <w:tc>
          <w:tcPr>
            <w:tcW w:w="28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5.6</w:t>
            </w:r>
          </w:p>
        </w:tc>
        <w:tc>
          <w:tcPr>
            <w:tcW w:w="2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70.9</w:t>
            </w:r>
          </w:p>
        </w:tc>
        <w:tc>
          <w:tcPr>
            <w:tcW w:w="100" w:type="dxa"/>
            <w:vAlign w:val="bottom"/>
            <w:shd w:val="clear" w:color="auto" w:fill="CFF0FC"/>
          </w:tcPr>
          <w:p>
            <w:pPr>
              <w:spacing w:after="0"/>
              <w:rPr>
                <w:sz w:val="21"/>
                <w:szCs w:val="21"/>
                <w:color w:val="auto"/>
              </w:rPr>
            </w:pPr>
          </w:p>
        </w:tc>
      </w:tr>
      <w:tr>
        <w:trPr>
          <w:trHeight w:val="237"/>
        </w:trPr>
        <w:tc>
          <w:tcPr>
            <w:tcW w:w="6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921.9</w:t>
            </w:r>
          </w:p>
        </w:tc>
        <w:tc>
          <w:tcPr>
            <w:tcW w:w="2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60.5</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982.4</w:t>
            </w:r>
          </w:p>
        </w:tc>
        <w:tc>
          <w:tcPr>
            <w:tcW w:w="100" w:type="dxa"/>
            <w:vAlign w:val="bottom"/>
          </w:tcPr>
          <w:p>
            <w:pPr>
              <w:spacing w:after="0"/>
              <w:rPr>
                <w:sz w:val="20"/>
                <w:szCs w:val="20"/>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3"/>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60" w:type="dxa"/>
            <w:vAlign w:val="bottom"/>
            <w:gridSpan w:val="4"/>
          </w:tcPr>
          <w:p>
            <w:pPr>
              <w:jc w:val="center"/>
              <w:spacing w:after="0"/>
              <w:rPr>
                <w:sz w:val="20"/>
                <w:szCs w:val="20"/>
                <w:color w:val="auto"/>
              </w:rPr>
            </w:pPr>
            <w:r>
              <w:rPr>
                <w:rFonts w:ascii="Arial" w:cs="Arial" w:eastAsia="Arial" w:hAnsi="Arial"/>
                <w:sz w:val="20"/>
                <w:szCs w:val="20"/>
                <w:color w:val="auto"/>
                <w:w w:val="88"/>
              </w:rPr>
              <w:t>Three Months Ended</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90"/>
              </w:rPr>
              <w:t>March 31, 2020</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61"/>
              <w:spacing w:after="0" w:line="220" w:lineRule="exact"/>
              <w:rPr>
                <w:sz w:val="20"/>
                <w:szCs w:val="20"/>
                <w:color w:val="auto"/>
              </w:rPr>
            </w:pPr>
            <w:r>
              <w:rPr>
                <w:rFonts w:ascii="Arial" w:cs="Arial" w:eastAsia="Arial" w:hAnsi="Arial"/>
                <w:sz w:val="20"/>
                <w:szCs w:val="20"/>
                <w:color w:val="auto"/>
                <w:w w:val="86"/>
              </w:rPr>
              <w:t>Products and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right="61"/>
              <w:spacing w:after="0"/>
              <w:rPr>
                <w:sz w:val="20"/>
                <w:szCs w:val="20"/>
                <w:color w:val="auto"/>
              </w:rPr>
            </w:pPr>
            <w:r>
              <w:rPr>
                <w:rFonts w:ascii="Arial" w:cs="Arial" w:eastAsia="Arial" w:hAnsi="Arial"/>
                <w:sz w:val="20"/>
                <w:szCs w:val="20"/>
                <w:color w:val="auto"/>
                <w:w w:val="86"/>
              </w:rPr>
              <w:t>Services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20"/>
                <w:szCs w:val="20"/>
                <w:color w:val="auto"/>
                <w:w w:val="93"/>
              </w:rPr>
              <w:t>Freight</w:t>
            </w:r>
          </w:p>
        </w:tc>
        <w:tc>
          <w:tcPr>
            <w:tcW w:w="320" w:type="dxa"/>
            <w:vAlign w:val="bottom"/>
          </w:tcPr>
          <w:p>
            <w:pPr>
              <w:spacing w:after="0"/>
              <w:rPr>
                <w:sz w:val="21"/>
                <w:szCs w:val="21"/>
                <w:color w:val="auto"/>
              </w:rPr>
            </w:pPr>
          </w:p>
        </w:tc>
        <w:tc>
          <w:tcPr>
            <w:tcW w:w="1300" w:type="dxa"/>
            <w:vAlign w:val="bottom"/>
            <w:gridSpan w:val="2"/>
          </w:tcPr>
          <w:p>
            <w:pPr>
              <w:ind w:left="220"/>
              <w:spacing w:after="0"/>
              <w:rPr>
                <w:sz w:val="20"/>
                <w:szCs w:val="20"/>
                <w:color w:val="auto"/>
              </w:rPr>
            </w:pPr>
            <w:r>
              <w:rPr>
                <w:rFonts w:ascii="Arial" w:cs="Arial" w:eastAsia="Arial" w:hAnsi="Arial"/>
                <w:sz w:val="20"/>
                <w:szCs w:val="20"/>
                <w:color w:val="auto"/>
              </w:rPr>
              <w:t>Total</w:t>
            </w:r>
          </w:p>
        </w:tc>
      </w:tr>
      <w:tr>
        <w:trPr>
          <w:trHeight w:val="233"/>
        </w:trPr>
        <w:tc>
          <w:tcPr>
            <w:tcW w:w="60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4"/>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060" w:type="dxa"/>
            <w:vAlign w:val="bottom"/>
          </w:tcPr>
          <w:p>
            <w:pPr>
              <w:spacing w:after="0"/>
              <w:rPr>
                <w:sz w:val="20"/>
                <w:szCs w:val="20"/>
                <w:color w:val="auto"/>
              </w:rPr>
            </w:pPr>
            <w:r>
              <w:rPr>
                <w:rFonts w:ascii="Arial" w:cs="Arial" w:eastAsia="Arial" w:hAnsi="Arial"/>
                <w:sz w:val="20"/>
                <w:szCs w:val="20"/>
                <w:color w:val="auto"/>
              </w:rPr>
              <w:t>East Group</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357.9</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24.0</w:t>
            </w:r>
          </w:p>
        </w:tc>
        <w:tc>
          <w:tcPr>
            <w:tcW w:w="28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381.9</w:t>
            </w:r>
          </w:p>
        </w:tc>
        <w:tc>
          <w:tcPr>
            <w:tcW w:w="100" w:type="dxa"/>
            <w:vAlign w:val="bottom"/>
          </w:tcPr>
          <w:p>
            <w:pPr>
              <w:spacing w:after="0"/>
              <w:rPr>
                <w:sz w:val="21"/>
                <w:szCs w:val="21"/>
                <w:color w:val="auto"/>
              </w:rPr>
            </w:pPr>
          </w:p>
        </w:tc>
      </w:tr>
      <w:tr>
        <w:trPr>
          <w:trHeight w:val="243"/>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473.2</w:t>
            </w:r>
          </w:p>
        </w:tc>
        <w:tc>
          <w:tcPr>
            <w:tcW w:w="28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37.4</w:t>
            </w:r>
          </w:p>
        </w:tc>
        <w:tc>
          <w:tcPr>
            <w:tcW w:w="2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510.6</w:t>
            </w:r>
          </w:p>
        </w:tc>
        <w:tc>
          <w:tcPr>
            <w:tcW w:w="100" w:type="dxa"/>
            <w:vAlign w:val="bottom"/>
            <w:shd w:val="clear" w:color="auto" w:fill="CFF0FC"/>
          </w:tcPr>
          <w:p>
            <w:pPr>
              <w:spacing w:after="0"/>
              <w:rPr>
                <w:sz w:val="21"/>
                <w:szCs w:val="21"/>
                <w:color w:val="auto"/>
              </w:rPr>
            </w:pPr>
          </w:p>
        </w:tc>
      </w:tr>
      <w:tr>
        <w:trPr>
          <w:trHeight w:val="236"/>
        </w:trPr>
        <w:tc>
          <w:tcPr>
            <w:tcW w:w="606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831.1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61.4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892.5</w:t>
            </w:r>
          </w:p>
        </w:tc>
        <w:tc>
          <w:tcPr>
            <w:tcW w:w="100" w:type="dxa"/>
            <w:vAlign w:val="bottom"/>
          </w:tcPr>
          <w:p>
            <w:pPr>
              <w:spacing w:after="0"/>
              <w:rPr>
                <w:sz w:val="20"/>
                <w:szCs w:val="20"/>
                <w:color w:val="auto"/>
              </w:rPr>
            </w:pPr>
          </w:p>
        </w:tc>
      </w:tr>
      <w:tr>
        <w:trPr>
          <w:trHeight w:val="243"/>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59.9</w:t>
            </w:r>
          </w:p>
        </w:tc>
        <w:tc>
          <w:tcPr>
            <w:tcW w:w="28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5.8</w:t>
            </w:r>
          </w:p>
        </w:tc>
        <w:tc>
          <w:tcPr>
            <w:tcW w:w="2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65.7</w:t>
            </w:r>
          </w:p>
        </w:tc>
        <w:tc>
          <w:tcPr>
            <w:tcW w:w="100" w:type="dxa"/>
            <w:vAlign w:val="bottom"/>
            <w:shd w:val="clear" w:color="auto" w:fill="CFF0FC"/>
          </w:tcPr>
          <w:p>
            <w:pPr>
              <w:spacing w:after="0"/>
              <w:rPr>
                <w:sz w:val="21"/>
                <w:szCs w:val="21"/>
                <w:color w:val="auto"/>
              </w:rPr>
            </w:pPr>
          </w:p>
        </w:tc>
      </w:tr>
      <w:tr>
        <w:trPr>
          <w:trHeight w:val="236"/>
        </w:trPr>
        <w:tc>
          <w:tcPr>
            <w:tcW w:w="6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891.0</w:t>
            </w:r>
          </w:p>
        </w:tc>
        <w:tc>
          <w:tcPr>
            <w:tcW w:w="2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67.2</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958.2</w:t>
            </w:r>
          </w:p>
        </w:tc>
        <w:tc>
          <w:tcPr>
            <w:tcW w:w="100" w:type="dxa"/>
            <w:vAlign w:val="bottom"/>
          </w:tcPr>
          <w:p>
            <w:pPr>
              <w:spacing w:after="0"/>
              <w:rPr>
                <w:sz w:val="20"/>
                <w:szCs w:val="20"/>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8" w:lineRule="exact"/>
        <w:rPr>
          <w:sz w:val="20"/>
          <w:szCs w:val="20"/>
          <w:color w:val="auto"/>
        </w:rPr>
      </w:pPr>
    </w:p>
    <w:p>
      <w:pPr>
        <w:jc w:val="both"/>
        <w:ind w:left="380" w:right="20"/>
        <w:spacing w:after="0" w:line="260" w:lineRule="auto"/>
        <w:rPr>
          <w:sz w:val="20"/>
          <w:szCs w:val="20"/>
          <w:color w:val="auto"/>
        </w:rPr>
      </w:pPr>
      <w:r>
        <w:rPr>
          <w:rFonts w:ascii="Arial" w:cs="Arial" w:eastAsia="Arial" w:hAnsi="Arial"/>
          <w:sz w:val="20"/>
          <w:szCs w:val="20"/>
          <w:color w:val="auto"/>
        </w:rPr>
        <w:t>Service revenues, which include paving operations located in Colorado, were $8.8 million and $14.5 million for the three months ended March 31, 2021 and 2020, respectively.</w:t>
      </w:r>
    </w:p>
    <w:p>
      <w:pPr>
        <w:spacing w:after="0" w:line="69"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b w:val="1"/>
          <w:bCs w:val="1"/>
          <w:i w:val="1"/>
          <w:iCs w:val="1"/>
          <w:color w:val="auto"/>
        </w:rPr>
        <w:t xml:space="preserve">Contract Balances. </w:t>
      </w:r>
      <w:r>
        <w:rPr>
          <w:rFonts w:ascii="Arial" w:cs="Arial" w:eastAsia="Arial" w:hAnsi="Arial"/>
          <w:sz w:val="20"/>
          <w:szCs w:val="20"/>
          <w:color w:val="auto"/>
        </w:rPr>
        <w:t>Costs in excess of billings relate to the conditional right to consideration for completed contractual performance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are contract assets on the consolidated balance sheets. Costs in excess of billings are reclassified to accounts receivable when the right to consideration becomes unconditional. Billings in excess of costs relate to customers invoiced in advance of contractual performance and are contract liabilities on the consolidated balance sheets. The following table presents information about the Company’s contract balances: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20" w:type="dxa"/>
            <w:vAlign w:val="bottom"/>
          </w:tcPr>
          <w:p>
            <w:pPr>
              <w:spacing w:after="0"/>
              <w:rPr>
                <w:sz w:val="20"/>
                <w:szCs w:val="20"/>
                <w:color w:val="auto"/>
              </w:rPr>
            </w:pPr>
            <w:r>
              <w:rPr>
                <w:rFonts w:ascii="Arial" w:cs="Arial" w:eastAsia="Arial" w:hAnsi="Arial"/>
                <w:sz w:val="20"/>
                <w:szCs w:val="20"/>
                <w:i w:val="1"/>
                <w:iCs w:val="1"/>
                <w:color w:val="auto"/>
              </w:rPr>
              <w:t>(Dollars in Millions)</w:t>
            </w:r>
          </w:p>
        </w:tc>
        <w:tc>
          <w:tcPr>
            <w:tcW w:w="2740" w:type="dxa"/>
            <w:vAlign w:val="bottom"/>
          </w:tcPr>
          <w:p>
            <w:pPr>
              <w:spacing w:after="0"/>
              <w:rPr>
                <w:sz w:val="21"/>
                <w:szCs w:val="21"/>
                <w:color w:val="auto"/>
              </w:rPr>
            </w:pPr>
          </w:p>
        </w:tc>
        <w:tc>
          <w:tcPr>
            <w:tcW w:w="1740" w:type="dxa"/>
            <w:vAlign w:val="bottom"/>
            <w:gridSpan w:val="2"/>
          </w:tcPr>
          <w:p>
            <w:pPr>
              <w:ind w:left="80"/>
              <w:spacing w:after="0"/>
              <w:rPr>
                <w:sz w:val="20"/>
                <w:szCs w:val="20"/>
                <w:color w:val="auto"/>
              </w:rPr>
            </w:pPr>
            <w:r>
              <w:rPr>
                <w:rFonts w:ascii="Arial" w:cs="Arial" w:eastAsia="Arial" w:hAnsi="Arial"/>
                <w:sz w:val="20"/>
                <w:szCs w:val="20"/>
                <w:color w:val="auto"/>
              </w:rPr>
              <w:t>March 31, 2021</w:t>
            </w:r>
          </w:p>
        </w:tc>
        <w:tc>
          <w:tcPr>
            <w:tcW w:w="300" w:type="dxa"/>
            <w:vAlign w:val="bottom"/>
          </w:tcPr>
          <w:p>
            <w:pPr>
              <w:spacing w:after="0"/>
              <w:rPr>
                <w:sz w:val="21"/>
                <w:szCs w:val="21"/>
                <w:color w:val="auto"/>
              </w:rPr>
            </w:pPr>
          </w:p>
        </w:tc>
        <w:tc>
          <w:tcPr>
            <w:tcW w:w="1840" w:type="dxa"/>
            <w:vAlign w:val="bottom"/>
            <w:gridSpan w:val="2"/>
          </w:tcPr>
          <w:p>
            <w:pPr>
              <w:ind w:left="20"/>
              <w:spacing w:after="0"/>
              <w:rPr>
                <w:sz w:val="20"/>
                <w:szCs w:val="20"/>
                <w:color w:val="auto"/>
              </w:rPr>
            </w:pPr>
            <w:r>
              <w:rPr>
                <w:rFonts w:ascii="Arial" w:cs="Arial" w:eastAsia="Arial" w:hAnsi="Arial"/>
                <w:sz w:val="20"/>
                <w:szCs w:val="20"/>
                <w:color w:val="auto"/>
              </w:rPr>
              <w:t>December 31, 2020</w:t>
            </w:r>
          </w:p>
        </w:tc>
      </w:tr>
      <w:tr>
        <w:trPr>
          <w:trHeight w:val="237"/>
        </w:trPr>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Costs in excess of billings</w:t>
            </w:r>
          </w:p>
        </w:tc>
        <w:tc>
          <w:tcPr>
            <w:tcW w:w="2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w:t>
            </w:r>
          </w:p>
        </w:tc>
        <w:tc>
          <w:tcPr>
            <w:tcW w:w="12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120" w:type="dxa"/>
            <w:vAlign w:val="bottom"/>
            <w:tcBorders>
              <w:top w:val="single" w:sz="8" w:color="CFF0FC"/>
            </w:tcBorders>
            <w:shd w:val="clear" w:color="auto" w:fill="CFF0FC"/>
          </w:tcPr>
          <w:p>
            <w:pPr>
              <w:spacing w:after="0"/>
              <w:rPr>
                <w:sz w:val="20"/>
                <w:szCs w:val="20"/>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20"/>
                <w:szCs w:val="20"/>
                <w:color w:val="auto"/>
              </w:rPr>
              <w:t>Billings in excess of costs</w:t>
            </w:r>
          </w:p>
        </w:tc>
        <w:tc>
          <w:tcPr>
            <w:tcW w:w="2740" w:type="dxa"/>
            <w:vAlign w:val="bottom"/>
          </w:tcPr>
          <w:p>
            <w:pPr>
              <w:jc w:val="right"/>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11.6</w:t>
            </w: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14.0</w:t>
            </w:r>
          </w:p>
        </w:tc>
        <w:tc>
          <w:tcPr>
            <w:tcW w:w="120" w:type="dxa"/>
            <w:vAlign w:val="bottom"/>
          </w:tcPr>
          <w:p>
            <w:pPr>
              <w:spacing w:after="0"/>
              <w:rPr>
                <w:sz w:val="21"/>
                <w:szCs w:val="21"/>
                <w:color w:val="auto"/>
              </w:rPr>
            </w:pPr>
          </w:p>
        </w:tc>
      </w:tr>
    </w:tbl>
    <w:p>
      <w:pPr>
        <w:spacing w:after="0" w:line="124"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Revenues recognized from the beginning balance of contract liabilities for the three months ended March 31, 2021 and 2020 were $4.9 million and $4.4 million, respectively</w:t>
      </w:r>
      <w:r>
        <w:rPr>
          <w:rFonts w:ascii="Arial" w:cs="Arial" w:eastAsia="Arial" w:hAnsi="Arial"/>
          <w:sz w:val="17"/>
          <w:szCs w:val="17"/>
          <w:color w:val="auto"/>
        </w:rPr>
        <w:t>.</w:t>
      </w:r>
    </w:p>
    <w:p>
      <w:pPr>
        <w:spacing w:after="0" w:line="69" w:lineRule="exact"/>
        <w:rPr>
          <w:sz w:val="20"/>
          <w:szCs w:val="20"/>
          <w:color w:val="auto"/>
        </w:rPr>
      </w:pPr>
    </w:p>
    <w:p>
      <w:pPr>
        <w:jc w:val="both"/>
        <w:ind w:left="380"/>
        <w:spacing w:after="0" w:line="291" w:lineRule="auto"/>
        <w:rPr>
          <w:sz w:val="20"/>
          <w:szCs w:val="20"/>
          <w:color w:val="auto"/>
        </w:rPr>
      </w:pPr>
      <w:r>
        <w:rPr>
          <w:rFonts w:ascii="Arial" w:cs="Arial" w:eastAsia="Arial" w:hAnsi="Arial"/>
          <w:sz w:val="18"/>
          <w:szCs w:val="18"/>
          <w:color w:val="auto"/>
        </w:rPr>
        <w:t>Retainage, which primarily relates to the paving services, represents amounts that have been billed to customers but payment withheld until final acceptance by the customer of the performance obligation. Included in other current assets on the Company’s consolidated balance sheets, retainage was $7.5 million and $10.6 million at March 31, 2021 and December 31, 2020, respectively.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ind w:left="380" w:right="20"/>
        <w:spacing w:after="0" w:line="246" w:lineRule="auto"/>
        <w:rPr>
          <w:sz w:val="20"/>
          <w:szCs w:val="20"/>
          <w:color w:val="auto"/>
        </w:rPr>
      </w:pPr>
      <w:r>
        <w:rPr>
          <w:rFonts w:ascii="Arial" w:cs="Arial" w:eastAsia="Arial" w:hAnsi="Arial"/>
          <w:sz w:val="20"/>
          <w:szCs w:val="20"/>
          <w:b w:val="1"/>
          <w:bCs w:val="1"/>
          <w:i w:val="1"/>
          <w:iCs w:val="1"/>
          <w:color w:val="auto"/>
        </w:rPr>
        <w:t xml:space="preserve">Policy Elections. </w:t>
      </w:r>
      <w:r>
        <w:rPr>
          <w:rFonts w:ascii="Arial" w:cs="Arial" w:eastAsia="Arial" w:hAnsi="Arial"/>
          <w:sz w:val="20"/>
          <w:szCs w:val="20"/>
          <w:color w:val="auto"/>
        </w:rPr>
        <w:t>When the Company arranges third-party freight to deliver products to customers, the Company has elected the delivery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be a fulfillment activity rather than a separate performance obligation. Further, the Company acts as a principal in the delivery arrangements and, as required by the accounting standard, the related revenues and costs are presented gross and are included in the consolidated statements of earnings.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00" w:type="dxa"/>
            <w:vAlign w:val="bottom"/>
          </w:tcPr>
          <w:p>
            <w:pPr>
              <w:spacing w:after="0"/>
              <w:rPr>
                <w:sz w:val="20"/>
                <w:szCs w:val="20"/>
                <w:color w:val="auto"/>
              </w:rPr>
            </w:pPr>
            <w:r>
              <w:rPr>
                <w:rFonts w:ascii="Arial" w:cs="Arial" w:eastAsia="Arial" w:hAnsi="Arial"/>
                <w:sz w:val="20"/>
                <w:szCs w:val="20"/>
                <w:b w:val="1"/>
                <w:bCs w:val="1"/>
                <w:color w:val="auto"/>
              </w:rPr>
              <w:t>3.  Inventories, Net</w:t>
            </w:r>
          </w:p>
        </w:tc>
        <w:tc>
          <w:tcPr>
            <w:tcW w:w="1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5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20"/>
                <w:szCs w:val="20"/>
                <w:color w:val="auto"/>
              </w:rPr>
              <w:t>March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20"/>
                <w:szCs w:val="20"/>
                <w:color w:val="auto"/>
                <w:w w:val="92"/>
              </w:rPr>
              <w:t>December 31,</w:t>
            </w:r>
          </w:p>
        </w:tc>
        <w:tc>
          <w:tcPr>
            <w:tcW w:w="0" w:type="dxa"/>
            <w:vAlign w:val="bottom"/>
          </w:tcPr>
          <w:p>
            <w:pPr>
              <w:spacing w:after="0"/>
              <w:rPr>
                <w:sz w:val="1"/>
                <w:szCs w:val="1"/>
                <w:color w:val="auto"/>
              </w:rPr>
            </w:pPr>
          </w:p>
        </w:tc>
      </w:tr>
      <w:tr>
        <w:trPr>
          <w:trHeight w:val="246"/>
        </w:trPr>
        <w:tc>
          <w:tcPr>
            <w:tcW w:w="5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24"/>
              <w:spacing w:after="0"/>
              <w:rPr>
                <w:sz w:val="20"/>
                <w:szCs w:val="20"/>
                <w:color w:val="auto"/>
              </w:rPr>
            </w:pPr>
            <w:r>
              <w:rPr>
                <w:rFonts w:ascii="Arial" w:cs="Arial" w:eastAsia="Arial" w:hAnsi="Arial"/>
                <w:sz w:val="20"/>
                <w:szCs w:val="20"/>
                <w:color w:val="auto"/>
              </w:rPr>
              <w:t>2021</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04"/>
              <w:spacing w:after="0"/>
              <w:rPr>
                <w:sz w:val="20"/>
                <w:szCs w:val="20"/>
                <w:color w:val="auto"/>
              </w:rPr>
            </w:pPr>
            <w:r>
              <w:rPr>
                <w:rFonts w:ascii="Arial" w:cs="Arial" w:eastAsia="Arial" w:hAnsi="Arial"/>
                <w:sz w:val="20"/>
                <w:szCs w:val="20"/>
                <w:color w:val="auto"/>
              </w:rPr>
              <w:t>2020</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gridSpan w:val="7"/>
          </w:tcPr>
          <w:p>
            <w:pPr>
              <w:ind w:left="760"/>
              <w:spacing w:after="0"/>
              <w:rPr>
                <w:sz w:val="20"/>
                <w:szCs w:val="20"/>
                <w:color w:val="auto"/>
              </w:rPr>
            </w:pPr>
            <w:r>
              <w:rPr>
                <w:rFonts w:ascii="Arial" w:cs="Arial" w:eastAsia="Arial" w:hAnsi="Arial"/>
                <w:sz w:val="20"/>
                <w:szCs w:val="20"/>
                <w:i w:val="1"/>
                <w:iCs w:val="1"/>
                <w:color w:val="auto"/>
              </w:rPr>
              <w:t>(Dollars in Millions)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20"/>
                <w:szCs w:val="20"/>
                <w:color w:val="auto"/>
              </w:rPr>
              <w:t>Finished products</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661.4</w:t>
            </w:r>
          </w:p>
        </w:tc>
        <w:tc>
          <w:tcPr>
            <w:tcW w:w="100" w:type="dxa"/>
            <w:vAlign w:val="bottom"/>
            <w:shd w:val="clear" w:color="auto" w:fill="CFF0FC"/>
          </w:tcPr>
          <w:p>
            <w:pPr>
              <w:spacing w:after="0"/>
              <w:rPr>
                <w:sz w:val="21"/>
                <w:szCs w:val="21"/>
                <w:color w:val="auto"/>
              </w:rPr>
            </w:pPr>
          </w:p>
        </w:tc>
        <w:tc>
          <w:tcPr>
            <w:tcW w:w="480" w:type="dxa"/>
            <w:vAlign w:val="bottom"/>
            <w:gridSpan w:val="3"/>
            <w:shd w:val="clear" w:color="auto" w:fill="CFF0FC"/>
          </w:tcPr>
          <w:p>
            <w:pPr>
              <w:jc w:val="right"/>
              <w:ind w:right="107"/>
              <w:spacing w:after="0"/>
              <w:rPr>
                <w:sz w:val="20"/>
                <w:szCs w:val="20"/>
                <w:color w:val="auto"/>
              </w:rPr>
            </w:pPr>
            <w:r>
              <w:rPr>
                <w:rFonts w:ascii="Arial" w:cs="Arial" w:eastAsia="Arial" w:hAnsi="Arial"/>
                <w:sz w:val="20"/>
                <w:szCs w:val="20"/>
                <w:color w:val="auto"/>
              </w:rPr>
              <w:t>$</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667.0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20"/>
                <w:szCs w:val="20"/>
                <w:color w:val="auto"/>
              </w:rPr>
              <w:t>Products in process</w:t>
            </w:r>
          </w:p>
        </w:tc>
        <w:tc>
          <w:tcPr>
            <w:tcW w:w="1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0"/>
                <w:szCs w:val="20"/>
                <w:color w:val="auto"/>
              </w:rPr>
              <w:t>37.1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20"/>
                <w:szCs w:val="20"/>
                <w:color w:val="auto"/>
              </w:rPr>
              <w:t>Raw materials</w:t>
            </w:r>
          </w:p>
        </w:tc>
        <w:tc>
          <w:tcPr>
            <w:tcW w:w="19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37.9</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Supplies and expendable parts</w:t>
            </w:r>
          </w:p>
        </w:tc>
        <w:tc>
          <w:tcPr>
            <w:tcW w:w="19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151.1</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149.9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shd w:val="clear" w:color="auto" w:fill="CFF0FC"/>
          </w:tcPr>
          <w:p>
            <w:pPr>
              <w:spacing w:after="0"/>
              <w:rPr>
                <w:sz w:val="20"/>
                <w:szCs w:val="20"/>
                <w:color w:val="auto"/>
              </w:rPr>
            </w:pPr>
          </w:p>
        </w:tc>
        <w:tc>
          <w:tcPr>
            <w:tcW w:w="1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876.6</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889.3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20"/>
                <w:szCs w:val="20"/>
                <w:color w:val="auto"/>
              </w:rPr>
              <w:t>Less: Allowances</w:t>
            </w:r>
          </w:p>
        </w:tc>
        <w:tc>
          <w:tcPr>
            <w:tcW w:w="1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20"/>
                <w:szCs w:val="20"/>
                <w:color w:val="auto"/>
              </w:rPr>
              <w:t>(186.6)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20"/>
                <w:szCs w:val="20"/>
                <w:color w:val="auto"/>
              </w:rPr>
              <w:t>(180.3)</w:t>
            </w:r>
          </w:p>
        </w:tc>
        <w:tc>
          <w:tcPr>
            <w:tcW w:w="0" w:type="dxa"/>
            <w:vAlign w:val="bottom"/>
          </w:tcPr>
          <w:p>
            <w:pPr>
              <w:spacing w:after="0"/>
              <w:rPr>
                <w:sz w:val="1"/>
                <w:szCs w:val="1"/>
                <w:color w:val="auto"/>
              </w:rPr>
            </w:pPr>
          </w:p>
        </w:tc>
      </w:tr>
      <w:tr>
        <w:trPr>
          <w:trHeight w:val="237"/>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98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690.0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20"/>
                <w:szCs w:val="20"/>
                <w:color w:val="auto"/>
                <w:w w:val="71"/>
              </w:rPr>
              <w:t>$</w:t>
            </w:r>
          </w:p>
        </w:tc>
        <w:tc>
          <w:tcPr>
            <w:tcW w:w="15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709.0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20"/>
                <w:szCs w:val="20"/>
                <w:b w:val="1"/>
                <w:bCs w:val="1"/>
                <w:color w:val="auto"/>
              </w:rPr>
              <w:t>4.  Long-Term Debt</w:t>
            </w: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520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9"/>
                <w:szCs w:val="19"/>
                <w:color w:val="auto"/>
              </w:rPr>
              <w:t>March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460"/>
              <w:spacing w:after="0"/>
              <w:rPr>
                <w:sz w:val="20"/>
                <w:szCs w:val="20"/>
                <w:color w:val="auto"/>
              </w:rPr>
            </w:pPr>
            <w:r>
              <w:rPr>
                <w:rFonts w:ascii="Arial" w:cs="Arial" w:eastAsia="Arial" w:hAnsi="Arial"/>
                <w:sz w:val="19"/>
                <w:szCs w:val="19"/>
                <w:color w:val="auto"/>
                <w:w w:val="98"/>
              </w:rPr>
              <w:t>December 31,</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84"/>
              <w:spacing w:after="0"/>
              <w:rPr>
                <w:sz w:val="20"/>
                <w:szCs w:val="20"/>
                <w:color w:val="auto"/>
              </w:rPr>
            </w:pPr>
            <w:r>
              <w:rPr>
                <w:rFonts w:ascii="Arial" w:cs="Arial" w:eastAsia="Arial" w:hAnsi="Arial"/>
                <w:sz w:val="19"/>
                <w:szCs w:val="19"/>
                <w:color w:val="auto"/>
              </w:rPr>
              <w:t>2021</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84"/>
              <w:spacing w:after="0"/>
              <w:rPr>
                <w:sz w:val="20"/>
                <w:szCs w:val="20"/>
                <w:color w:val="auto"/>
              </w:rPr>
            </w:pPr>
            <w:r>
              <w:rPr>
                <w:rFonts w:ascii="Arial" w:cs="Arial" w:eastAsia="Arial" w:hAnsi="Arial"/>
                <w:sz w:val="19"/>
                <w:szCs w:val="19"/>
                <w:color w:val="auto"/>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gridSpan w:val="6"/>
          </w:tcPr>
          <w:p>
            <w:pPr>
              <w:jc w:val="right"/>
              <w:ind w:right="1004"/>
              <w:spacing w:after="0"/>
              <w:rPr>
                <w:sz w:val="20"/>
                <w:szCs w:val="20"/>
                <w:color w:val="auto"/>
              </w:rPr>
            </w:pPr>
            <w:r>
              <w:rPr>
                <w:rFonts w:ascii="Arial" w:cs="Arial" w:eastAsia="Arial" w:hAnsi="Arial"/>
                <w:sz w:val="19"/>
                <w:szCs w:val="19"/>
                <w:i w:val="1"/>
                <w:iCs w:val="1"/>
                <w:color w:val="auto"/>
              </w:rPr>
              <w:t>(Dollars in Millions)</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9"/>
                <w:szCs w:val="19"/>
                <w:color w:val="auto"/>
              </w:rPr>
              <w:t>4.250% Senior Notes, due 2024</w:t>
            </w:r>
          </w:p>
        </w:tc>
        <w:tc>
          <w:tcPr>
            <w:tcW w:w="2360" w:type="dxa"/>
            <w:vAlign w:val="bottom"/>
            <w:gridSpan w:val="3"/>
            <w:shd w:val="clear" w:color="auto" w:fill="CFF0FC"/>
          </w:tcPr>
          <w:p>
            <w:pPr>
              <w:jc w:val="right"/>
              <w:ind w:right="6"/>
              <w:spacing w:after="0"/>
              <w:rPr>
                <w:sz w:val="20"/>
                <w:szCs w:val="20"/>
                <w:color w:val="auto"/>
              </w:rPr>
            </w:pPr>
            <w:r>
              <w:rPr>
                <w:rFonts w:ascii="Arial" w:cs="Arial" w:eastAsia="Arial" w:hAnsi="Arial"/>
                <w:sz w:val="19"/>
                <w:szCs w:val="19"/>
                <w:color w:val="auto"/>
              </w:rPr>
              <w:t>$</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397.8</w:t>
            </w:r>
          </w:p>
        </w:tc>
        <w:tc>
          <w:tcPr>
            <w:tcW w:w="480" w:type="dxa"/>
            <w:vAlign w:val="bottom"/>
            <w:gridSpan w:val="3"/>
            <w:shd w:val="clear" w:color="auto" w:fill="CFF0FC"/>
          </w:tcPr>
          <w:p>
            <w:pPr>
              <w:jc w:val="right"/>
              <w:ind w:right="27"/>
              <w:spacing w:after="0"/>
              <w:rPr>
                <w:sz w:val="20"/>
                <w:szCs w:val="20"/>
                <w:color w:val="auto"/>
              </w:rPr>
            </w:pPr>
            <w:r>
              <w:rPr>
                <w:rFonts w:ascii="Arial" w:cs="Arial" w:eastAsia="Arial" w:hAnsi="Arial"/>
                <w:sz w:val="19"/>
                <w:szCs w:val="19"/>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397.6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9"/>
                <w:szCs w:val="19"/>
                <w:color w:val="auto"/>
              </w:rPr>
              <w:t>7% Debentures, due 2025</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9"/>
                <w:szCs w:val="19"/>
                <w:color w:val="auto"/>
              </w:rPr>
              <w:t>124.5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9"/>
                <w:szCs w:val="19"/>
                <w:color w:val="auto"/>
              </w:rPr>
              <w:t>124.5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9"/>
                <w:szCs w:val="19"/>
                <w:color w:val="auto"/>
              </w:rPr>
              <w:t>3.450% Senior Notes, due 2027</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297.7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297.6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9"/>
                <w:szCs w:val="19"/>
                <w:color w:val="auto"/>
              </w:rPr>
              <w:t>3.500% Senior Notes, due 2027</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9"/>
                <w:szCs w:val="19"/>
                <w:color w:val="auto"/>
              </w:rPr>
              <w:t>495.9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9"/>
                <w:szCs w:val="19"/>
                <w:color w:val="auto"/>
              </w:rPr>
              <w:t>495.8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9"/>
                <w:szCs w:val="19"/>
                <w:color w:val="auto"/>
              </w:rPr>
              <w:t>2.500% Senior Notes, due 2030</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490.4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490.1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9"/>
                <w:szCs w:val="19"/>
                <w:color w:val="auto"/>
              </w:rPr>
              <w:t>6.25% Senior Notes, due 2037</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9"/>
                <w:szCs w:val="19"/>
                <w:color w:val="auto"/>
              </w:rPr>
              <w:t>228.2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9"/>
                <w:szCs w:val="19"/>
                <w:color w:val="auto"/>
              </w:rPr>
              <w:t>228.2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9"/>
                <w:szCs w:val="19"/>
                <w:color w:val="auto"/>
              </w:rPr>
              <w:t>4.250% Senior Notes, due 2047</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591.9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591.9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Other notes</w:t>
            </w:r>
          </w:p>
        </w:tc>
        <w:tc>
          <w:tcPr>
            <w:tcW w:w="19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0.1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9"/>
                <w:szCs w:val="19"/>
                <w:color w:val="auto"/>
              </w:rPr>
              <w:t>Total debt</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2,626.5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2,625.8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9"/>
                <w:szCs w:val="19"/>
                <w:color w:val="auto"/>
              </w:rPr>
              <w:t>Less: Current maturities of long-term debt</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Long-term debt</w:t>
            </w:r>
          </w:p>
        </w:tc>
        <w:tc>
          <w:tcPr>
            <w:tcW w:w="21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9"/>
                <w:szCs w:val="19"/>
                <w:color w:val="auto"/>
                <w:w w:val="75"/>
              </w:rPr>
              <w:t>$</w:t>
            </w:r>
          </w:p>
        </w:tc>
        <w:tc>
          <w:tcPr>
            <w:tcW w:w="1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2,626.5</w:t>
            </w:r>
          </w:p>
        </w:tc>
        <w:tc>
          <w:tcPr>
            <w:tcW w:w="3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2,625.8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51" w:lineRule="exact"/>
        <w:rPr>
          <w:sz w:val="20"/>
          <w:szCs w:val="20"/>
          <w:color w:val="auto"/>
        </w:rPr>
      </w:pPr>
    </w:p>
    <w:p>
      <w:pPr>
        <w:jc w:val="both"/>
        <w:ind w:left="380"/>
        <w:spacing w:after="0" w:line="271" w:lineRule="auto"/>
        <w:rPr>
          <w:sz w:val="20"/>
          <w:szCs w:val="20"/>
          <w:color w:val="auto"/>
        </w:rPr>
      </w:pPr>
      <w:r>
        <w:rPr>
          <w:rFonts w:ascii="Arial" w:cs="Arial" w:eastAsia="Arial" w:hAnsi="Arial"/>
          <w:sz w:val="18"/>
          <w:szCs w:val="18"/>
          <w:color w:val="auto"/>
        </w:rPr>
        <w:t>The Company, through a wholly-owned special-purpose subsidiary, has a $400 million trade receivable securitization facility (the Trade Receivable Facility), which expires on September 22, 2021. The Trade Receivable Facility, with Truist Bank, Regions Bank, PNC Bank, N.A., The Bank of Tokyo-Mitsubishi UFJ, LTD. (New York Branch), and certain other lenders that may become a party to the facility from time to time, is backed by eligible trade receivables, as defined, and is limited to the lesser of the facility limit or the borrowing base, as defined. These receivables are originated by the Company and then sold to the wholly-owned special-purpose subsidiary by the Company. The Company continues to be responsible for the servicing and administration of the receivables purchased by the wholly-owned special-purpose subsidiary. Borrowings under the Trade Receivable Facility bear interest at a rate equal to asset-backed commercial paper costs of conduit lenders plus 0.85% for borrowings funded by conduit lenders and one-month London Interbank Offered Rate, or LIBOR, plus 1.00%, subject to change in the event that this rate no longer reflects the lender’s cost of lending, for borrowings funded by all other lenders. The Trade Receivable Facility contains a cross-default provision to the Company’s other debt agreements. There were no borrowings outstanding under the Trade Receivable Facility at March 31, 2021 or December 31, 2020.</w:t>
      </w:r>
    </w:p>
    <w:p>
      <w:pPr>
        <w:spacing w:after="0" w:line="62" w:lineRule="exact"/>
        <w:rPr>
          <w:sz w:val="20"/>
          <w:szCs w:val="20"/>
          <w:color w:val="auto"/>
        </w:rPr>
      </w:pPr>
    </w:p>
    <w:p>
      <w:pPr>
        <w:jc w:val="both"/>
        <w:ind w:left="380"/>
        <w:spacing w:after="0" w:line="255" w:lineRule="auto"/>
        <w:rPr>
          <w:sz w:val="20"/>
          <w:szCs w:val="20"/>
          <w:color w:val="auto"/>
        </w:rPr>
      </w:pPr>
      <w:r>
        <w:rPr>
          <w:rFonts w:ascii="Arial" w:cs="Arial" w:eastAsia="Arial" w:hAnsi="Arial"/>
          <w:sz w:val="19"/>
          <w:szCs w:val="19"/>
          <w:color w:val="auto"/>
        </w:rPr>
        <w:t>The Company has a $700 million five-year senior unsecured revolving facility (the Revolving Facility) with JPMorgan Chase Bank, N.A., as Administrative Agent, Truist Bank, Deutsche Bank Securities, Inc., and Wells Fargo Bank, N.A., as Co-Syndication Agents, and the lenders party thereto. Borrowings under the Revolving Facility bear interest, at the Company’s option, at rates based upon LIBOR or a base rate, plus, for each rate, a margin determined in accordance with a ratings-based pricing grid. There were no borrowings outstanding under the Revolving Facility at March 31, 2021 or December 31, 2020. The Revolving Facility requires the Company’s ratio of consolidated debt-to-consolidated earnings before interest, taxes, depreciation and amortization (EBITDA), as defined by the Revolving Facility, for the trailing-twelve months (the Ratio) to not exceed 3.50x as of the end of any fiscal quarter, provided that the Company may exclude from the Ratio debt incurred in connection with certain acquisitions during such quarter or the three preceding quarters so long as the Ratio calculated without such exclusion does not exceed 3.75x. Additionally, if there are no amounts outstanding under the Revolving Facility and the Trade Receivable Facility, consolidated debt, including debt for which the Company is a co-borrower, may be reduced by the Company’s unrestricted cash and cash equivalents in excess of $50 million, such reduction not to exceed $200 million, for purposes of the covenant calculation. The Company was in compliance with this covenant at March 31, 2021.</w:t>
      </w:r>
    </w:p>
    <w:p>
      <w:pPr>
        <w:spacing w:after="0" w:line="74"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The Revolving Facility expires on December 5, 2024, with any outstanding principal amounts, together with interest accrued thereon, due in full on that date. Available borrowings under the Revolving Facility are reduced by any outstanding letters of credit issued by the Company under the Revolving Facility. The Company had $2.6 million of outstanding letters of credit issued under the Revolving Facility at March 31, 2021 and December 31, 2020.</w:t>
      </w:r>
    </w:p>
    <w:p>
      <w:pPr>
        <w:spacing w:after="0" w:line="293" w:lineRule="exact"/>
        <w:rPr>
          <w:sz w:val="20"/>
          <w:szCs w:val="20"/>
          <w:color w:val="auto"/>
        </w:rPr>
      </w:pPr>
    </w:p>
    <w:p>
      <w:pPr>
        <w:ind w:left="380" w:hanging="372"/>
        <w:spacing w:after="0"/>
        <w:tabs>
          <w:tab w:leader="none" w:pos="38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11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Company’s financial instruments include temporary cash investments, restricted cash, accounts receivable, accounts payable, publicly-registered long-term notes, debentures and other long-term debt.</w:t>
      </w:r>
    </w:p>
    <w:p>
      <w:pPr>
        <w:spacing w:after="0" w:line="68" w:lineRule="exact"/>
        <w:rPr>
          <w:rFonts w:ascii="Arial" w:cs="Arial" w:eastAsia="Arial" w:hAnsi="Arial"/>
          <w:sz w:val="20"/>
          <w:szCs w:val="20"/>
          <w:b w:val="1"/>
          <w:bCs w:val="1"/>
          <w:color w:val="auto"/>
        </w:rPr>
      </w:pPr>
    </w:p>
    <w:p>
      <w:pPr>
        <w:jc w:val="both"/>
        <w:ind w:left="380"/>
        <w:spacing w:after="0" w:line="269" w:lineRule="auto"/>
        <w:rPr>
          <w:rFonts w:ascii="Arial" w:cs="Arial" w:eastAsia="Arial" w:hAnsi="Arial"/>
          <w:sz w:val="20"/>
          <w:szCs w:val="20"/>
          <w:b w:val="1"/>
          <w:bCs w:val="1"/>
          <w:color w:val="auto"/>
        </w:rPr>
      </w:pPr>
      <w:r>
        <w:rPr>
          <w:rFonts w:ascii="Arial" w:cs="Arial" w:eastAsia="Arial" w:hAnsi="Arial"/>
          <w:sz w:val="19"/>
          <w:szCs w:val="19"/>
          <w:color w:val="auto"/>
        </w:rPr>
        <w:t>Temporary cash investments are placed primarily in money market funds, money market demand deposit accounts and Eurodollar time deposits. The Company’s cash equivalents have original maturities of less than three months. Due to the short maturity of these investments, they are carried on the consolidated balance sheets at cost, which approximates fair value.</w:t>
      </w:r>
    </w:p>
    <w:p>
      <w:pPr>
        <w:spacing w:after="0" w:line="61"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Restricted cash is held in a trust account with a third-party intermediary. Due to the short-term nature of this account, the fair value of restricted cash approximates its carrying value.</w:t>
      </w:r>
    </w:p>
    <w:p>
      <w:pPr>
        <w:spacing w:after="0" w:line="68"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Accounts receivable are due from a large number of customers, primarily in the construction industry, and are dispersed across wide geographic and economic regions. No single customer accounted for 10% or more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ind w:left="380" w:right="20"/>
        <w:spacing w:after="0" w:line="260" w:lineRule="auto"/>
        <w:rPr>
          <w:sz w:val="20"/>
          <w:szCs w:val="20"/>
          <w:color w:val="auto"/>
        </w:rPr>
      </w:pPr>
      <w:r>
        <w:rPr>
          <w:rFonts w:ascii="Arial" w:cs="Arial" w:eastAsia="Arial" w:hAnsi="Arial"/>
          <w:sz w:val="20"/>
          <w:szCs w:val="20"/>
          <w:color w:val="auto"/>
        </w:rPr>
        <w:t>consolidated total revenues in the three month period ended March 31, 2021 and 2020. The estimated fair values of accounts receivable approximate their carrying amounts due to the short-term nature of the accounts.</w:t>
      </w:r>
    </w:p>
    <w:p>
      <w:pPr>
        <w:spacing w:after="0" w:line="69"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Accounts payable represent amounts owed to suppliers and vendors. The estimated fair value of accounts payable approximates the carrying amount due to the short-term nature of the payables.</w:t>
      </w:r>
    </w:p>
    <w:p>
      <w:pPr>
        <w:spacing w:after="0" w:line="69"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The carrying values and fair values of the Company’s long-term debt were $2.63 billion and $2.92 billion, respectively, at March 31, 2021 and $2.63 billion and $3.08 billion, respectively, at December 31, 2020. The estimated fair value of the publicly-registered long-term notes was estimated based on Level 2 of the fair value hierarchy using quoted market prices. The estimated fair values of other borrowings approximate their carrying amounts as the interest rates reset periodically.</w:t>
      </w:r>
    </w:p>
    <w:p>
      <w:pPr>
        <w:spacing w:after="0" w:line="293"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13" w:lineRule="exact"/>
        <w:rPr>
          <w:rFonts w:ascii="Arial" w:cs="Arial" w:eastAsia="Arial" w:hAnsi="Arial"/>
          <w:sz w:val="20"/>
          <w:szCs w:val="20"/>
          <w:b w:val="1"/>
          <w:bCs w:val="1"/>
          <w:color w:val="auto"/>
        </w:rPr>
      </w:pPr>
    </w:p>
    <w:p>
      <w:pPr>
        <w:jc w:val="both"/>
        <w:ind w:left="380"/>
        <w:spacing w:after="0" w:line="260" w:lineRule="auto"/>
        <w:rPr>
          <w:rFonts w:ascii="Arial" w:cs="Arial" w:eastAsia="Arial" w:hAnsi="Arial"/>
          <w:sz w:val="20"/>
          <w:szCs w:val="20"/>
          <w:b w:val="1"/>
          <w:bCs w:val="1"/>
          <w:color w:val="auto"/>
        </w:rPr>
      </w:pPr>
      <w:r>
        <w:rPr>
          <w:rFonts w:ascii="Arial" w:cs="Arial" w:eastAsia="Arial" w:hAnsi="Arial"/>
          <w:sz w:val="19"/>
          <w:szCs w:val="19"/>
          <w:color w:val="auto"/>
        </w:rPr>
        <w:t>The effective income tax rate reflects the effect of federal and state income taxes on earnings and the impact of differences in book and tax accounting arising primarily from the permanent tax benefits associated with the statutory depletion deduction for mineral reserves. For the three months ended March 31, 2021, the effective income tax rate was 19.5%. For the three months ended March 31, 2020, the effective income tax rate of 0.6% reflected a $6.9 million discrete benefit from financing third-party railroad track maintenance. In exchange, the Company received a federal income tax credit and deduction.</w:t>
      </w:r>
    </w:p>
    <w:p>
      <w:pPr>
        <w:spacing w:after="0" w:line="72" w:lineRule="exact"/>
        <w:rPr>
          <w:rFonts w:ascii="Arial" w:cs="Arial" w:eastAsia="Arial" w:hAnsi="Arial"/>
          <w:sz w:val="20"/>
          <w:szCs w:val="20"/>
          <w:b w:val="1"/>
          <w:bCs w:val="1"/>
          <w:color w:val="auto"/>
        </w:rPr>
      </w:pPr>
    </w:p>
    <w:p>
      <w:pPr>
        <w:ind w:left="38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 records interest accrued in relation to unrecognized tax benefits as income tax expense. Penalties, if incurred, are recorded as operating expenses in the consolidated statements of earnings and comprehensive earnings.</w:t>
      </w:r>
    </w:p>
    <w:p>
      <w:pPr>
        <w:spacing w:after="0" w:line="224" w:lineRule="exact"/>
        <w:rPr>
          <w:rFonts w:ascii="Arial" w:cs="Arial" w:eastAsia="Arial" w:hAnsi="Arial"/>
          <w:sz w:val="20"/>
          <w:szCs w:val="20"/>
          <w:b w:val="1"/>
          <w:bCs w:val="1"/>
          <w:color w:val="auto"/>
        </w:rPr>
      </w:pPr>
    </w:p>
    <w:p>
      <w:pPr>
        <w:ind w:left="380" w:hanging="372"/>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Postretirement Benefits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estimated components of the recorded net periodic benefit cost (credit) for pension and postretirement benefits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gridSpan w:val="3"/>
          </w:tcPr>
          <w:p>
            <w:pPr>
              <w:jc w:val="right"/>
              <w:ind w:right="41"/>
              <w:spacing w:after="0"/>
              <w:rPr>
                <w:sz w:val="20"/>
                <w:szCs w:val="20"/>
                <w:color w:val="auto"/>
              </w:rPr>
            </w:pPr>
            <w:r>
              <w:rPr>
                <w:rFonts w:ascii="Arial" w:cs="Arial" w:eastAsia="Arial" w:hAnsi="Arial"/>
                <w:sz w:val="20"/>
                <w:szCs w:val="20"/>
                <w:color w:val="auto"/>
              </w:rPr>
              <w:t>Pension</w:t>
            </w: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gridSpan w:val="6"/>
          </w:tcPr>
          <w:p>
            <w:pPr>
              <w:jc w:val="right"/>
              <w:ind w:right="940"/>
              <w:spacing w:after="0"/>
              <w:rPr>
                <w:sz w:val="20"/>
                <w:szCs w:val="20"/>
                <w:color w:val="auto"/>
              </w:rPr>
            </w:pPr>
            <w:r>
              <w:rPr>
                <w:rFonts w:ascii="Arial" w:cs="Arial" w:eastAsia="Arial" w:hAnsi="Arial"/>
                <w:sz w:val="20"/>
                <w:szCs w:val="20"/>
                <w:color w:val="auto"/>
              </w:rPr>
              <w:t>Postretirement Benefits</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3420" w:type="dxa"/>
            <w:vAlign w:val="bottom"/>
            <w:tcBorders>
              <w:top w:val="single" w:sz="8" w:color="auto"/>
              <w:bottom w:val="single" w:sz="8" w:color="auto"/>
            </w:tcBorders>
            <w:gridSpan w:val="5"/>
          </w:tcPr>
          <w:p>
            <w:pPr>
              <w:jc w:val="right"/>
              <w:ind w:right="740"/>
              <w:spacing w:after="0"/>
              <w:rPr>
                <w:sz w:val="20"/>
                <w:szCs w:val="20"/>
                <w:color w:val="auto"/>
              </w:rPr>
            </w:pPr>
            <w:r>
              <w:rPr>
                <w:rFonts w:ascii="Arial" w:cs="Arial" w:eastAsia="Arial" w:hAnsi="Arial"/>
                <w:sz w:val="20"/>
                <w:szCs w:val="20"/>
                <w:color w:val="auto"/>
                <w:w w:val="94"/>
              </w:rPr>
              <w:t>Three Months Ended March 31,</w:t>
            </w:r>
          </w:p>
        </w:tc>
        <w:tc>
          <w:tcPr>
            <w:tcW w:w="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2021</w:t>
            </w: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2021</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20" w:type="dxa"/>
            <w:vAlign w:val="bottom"/>
            <w:gridSpan w:val="5"/>
          </w:tcPr>
          <w:p>
            <w:pPr>
              <w:jc w:val="right"/>
              <w:ind w:right="1180"/>
              <w:spacing w:after="0"/>
              <w:rPr>
                <w:sz w:val="20"/>
                <w:szCs w:val="20"/>
                <w:color w:val="auto"/>
              </w:rPr>
            </w:pPr>
            <w:r>
              <w:rPr>
                <w:rFonts w:ascii="Arial" w:cs="Arial" w:eastAsia="Arial" w:hAnsi="Arial"/>
                <w:sz w:val="20"/>
                <w:szCs w:val="20"/>
                <w:i w:val="1"/>
                <w:iCs w:val="1"/>
                <w:color w:val="auto"/>
              </w:rPr>
              <w:t>(Dollars in Millions)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0"/>
                <w:szCs w:val="20"/>
                <w:color w:val="auto"/>
              </w:rPr>
            </w:pPr>
            <w:r>
              <w:rPr>
                <w:rFonts w:ascii="Arial" w:cs="Arial" w:eastAsia="Arial" w:hAnsi="Arial"/>
                <w:sz w:val="20"/>
                <w:szCs w:val="20"/>
                <w:color w:val="auto"/>
              </w:rPr>
              <w:t>Service cost</w:t>
            </w: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11.6</w:t>
            </w:r>
          </w:p>
        </w:tc>
        <w:tc>
          <w:tcPr>
            <w:tcW w:w="28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9.7</w:t>
            </w:r>
          </w:p>
        </w:tc>
        <w:tc>
          <w:tcPr>
            <w:tcW w:w="280" w:type="dxa"/>
            <w:vAlign w:val="bottom"/>
          </w:tcPr>
          <w:p>
            <w:pPr>
              <w:spacing w:after="0"/>
              <w:rPr>
                <w:sz w:val="21"/>
                <w:szCs w:val="21"/>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83"/>
              <w:spacing w:after="0"/>
              <w:rPr>
                <w:sz w:val="20"/>
                <w:szCs w:val="20"/>
                <w:color w:val="auto"/>
              </w:rPr>
            </w:pPr>
            <w:r>
              <w:rPr>
                <w:rFonts w:ascii="Arial" w:cs="Arial" w:eastAsia="Arial" w:hAnsi="Arial"/>
                <w:sz w:val="20"/>
                <w:szCs w:val="20"/>
                <w:color w:val="auto"/>
                <w:w w:val="71"/>
              </w:rPr>
              <w:t>$</w:t>
            </w: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spacing w:after="0"/>
              <w:rPr>
                <w:sz w:val="20"/>
                <w:szCs w:val="20"/>
                <w:color w:val="auto"/>
              </w:rPr>
            </w:pPr>
            <w:r>
              <w:rPr>
                <w:rFonts w:ascii="Arial" w:cs="Arial" w:eastAsia="Arial" w:hAnsi="Arial"/>
                <w:sz w:val="20"/>
                <w:szCs w:val="20"/>
                <w:color w:val="auto"/>
              </w:rPr>
              <w:t>Interest cost</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0.1</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20"/>
                <w:szCs w:val="20"/>
                <w:color w:val="auto"/>
              </w:rPr>
              <w:t>Expected return on assets</w:t>
            </w:r>
          </w:p>
        </w:tc>
        <w:tc>
          <w:tcPr>
            <w:tcW w:w="3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(17.6)</w:t>
            </w:r>
          </w:p>
        </w:tc>
        <w:tc>
          <w:tcPr>
            <w:tcW w:w="32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20"/>
                <w:szCs w:val="20"/>
                <w:color w:val="auto"/>
              </w:rPr>
              <w:t>(14.6)</w:t>
            </w:r>
          </w:p>
        </w:tc>
        <w:tc>
          <w:tcPr>
            <w:tcW w:w="36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20"/>
                <w:szCs w:val="20"/>
                <w:color w:val="auto"/>
              </w:rPr>
              <w:t>Prior service cost (credit)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0.2</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0.2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(0.2)</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Actuarial loss (gain)</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(0.1)</w:t>
            </w: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20"/>
                <w:szCs w:val="20"/>
                <w:color w:val="auto"/>
              </w:rPr>
              <w:t>Net periodic benefit cost (credit)</w:t>
            </w: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vMerge w:val="continue"/>
          </w:tcPr>
          <w:p>
            <w:pPr>
              <w:spacing w:after="0"/>
              <w:rPr>
                <w:sz w:val="20"/>
                <w:szCs w:val="20"/>
                <w:color w:val="auto"/>
              </w:rPr>
            </w:pP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6.5</w:t>
            </w:r>
          </w:p>
        </w:tc>
        <w:tc>
          <w:tcPr>
            <w:tcW w:w="280" w:type="dxa"/>
            <w:vAlign w:val="bottom"/>
          </w:tcPr>
          <w:p>
            <w:pPr>
              <w:spacing w:after="0"/>
              <w:rPr>
                <w:sz w:val="20"/>
                <w:szCs w:val="20"/>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7.8</w:t>
            </w:r>
          </w:p>
        </w:tc>
        <w:tc>
          <w:tcPr>
            <w:tcW w:w="280" w:type="dxa"/>
            <w:vAlign w:val="bottom"/>
          </w:tcPr>
          <w:p>
            <w:pPr>
              <w:spacing w:after="0"/>
              <w:rPr>
                <w:sz w:val="20"/>
                <w:szCs w:val="20"/>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(0.2)</w:t>
            </w:r>
          </w:p>
        </w:tc>
        <w:tc>
          <w:tcPr>
            <w:tcW w:w="20" w:type="dxa"/>
            <w:vAlign w:val="bottom"/>
            <w:vMerge w:val="continue"/>
          </w:tcPr>
          <w:p>
            <w:pPr>
              <w:spacing w:after="0"/>
              <w:rPr>
                <w:sz w:val="20"/>
                <w:szCs w:val="20"/>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 xml:space="preserve">The service cost component of net periodic benefit cost (credit) is included in </w:t>
      </w:r>
      <w:r>
        <w:rPr>
          <w:rFonts w:ascii="Arial" w:cs="Arial" w:eastAsia="Arial" w:hAnsi="Arial"/>
          <w:sz w:val="20"/>
          <w:szCs w:val="20"/>
          <w:i w:val="1"/>
          <w:iCs w:val="1"/>
          <w:color w:val="auto"/>
        </w:rPr>
        <w:t>Cost of revenues – products and services</w:t>
      </w:r>
      <w:r>
        <w:rPr>
          <w:rFonts w:ascii="Arial" w:cs="Arial" w:eastAsia="Arial" w:hAnsi="Arial"/>
          <w:sz w:val="20"/>
          <w:szCs w:val="20"/>
          <w:color w:val="auto"/>
        </w:rPr>
        <w:t xml:space="preserve"> and </w:t>
      </w:r>
      <w:r>
        <w:rPr>
          <w:rFonts w:ascii="Arial" w:cs="Arial" w:eastAsia="Arial" w:hAnsi="Arial"/>
          <w:sz w:val="20"/>
          <w:szCs w:val="20"/>
          <w:i w:val="1"/>
          <w:iCs w:val="1"/>
          <w:color w:val="auto"/>
        </w:rPr>
        <w:t>Selling,</w:t>
      </w:r>
      <w:r>
        <w:rPr>
          <w:rFonts w:ascii="Arial" w:cs="Arial" w:eastAsia="Arial" w:hAnsi="Arial"/>
          <w:sz w:val="20"/>
          <w:szCs w:val="20"/>
          <w:color w:val="auto"/>
        </w:rPr>
        <w:t xml:space="preserve"> </w:t>
      </w:r>
      <w:r>
        <w:rPr>
          <w:rFonts w:ascii="Arial" w:cs="Arial" w:eastAsia="Arial" w:hAnsi="Arial"/>
          <w:sz w:val="20"/>
          <w:szCs w:val="20"/>
          <w:i w:val="1"/>
          <w:iCs w:val="1"/>
          <w:color w:val="auto"/>
        </w:rPr>
        <w:t>general and administrative expenses</w:t>
      </w:r>
      <w:r>
        <w:rPr>
          <w:rFonts w:ascii="Arial" w:cs="Arial" w:eastAsia="Arial" w:hAnsi="Arial"/>
          <w:sz w:val="20"/>
          <w:szCs w:val="20"/>
          <w:color w:val="auto"/>
        </w:rPr>
        <w:t>. All other components are included in</w:t>
      </w:r>
      <w:r>
        <w:rPr>
          <w:rFonts w:ascii="Arial" w:cs="Arial" w:eastAsia="Arial" w:hAnsi="Arial"/>
          <w:sz w:val="20"/>
          <w:szCs w:val="20"/>
          <w:i w:val="1"/>
          <w:iCs w:val="1"/>
          <w:color w:val="auto"/>
        </w:rPr>
        <w:t xml:space="preserve"> Other nonoperating (income) and expenses, net</w:t>
      </w:r>
      <w:r>
        <w:rPr>
          <w:rFonts w:ascii="Arial" w:cs="Arial" w:eastAsia="Arial" w:hAnsi="Arial"/>
          <w:sz w:val="20"/>
          <w:szCs w:val="20"/>
          <w:color w:val="auto"/>
        </w:rPr>
        <w:t>, in the</w:t>
      </w:r>
      <w:r>
        <w:rPr>
          <w:rFonts w:ascii="Arial" w:cs="Arial" w:eastAsia="Arial" w:hAnsi="Arial"/>
          <w:sz w:val="20"/>
          <w:szCs w:val="20"/>
          <w:i w:val="1"/>
          <w:iCs w:val="1"/>
          <w:color w:val="auto"/>
        </w:rPr>
        <w:t xml:space="preserve"> </w:t>
      </w:r>
      <w:r>
        <w:rPr>
          <w:rFonts w:ascii="Arial" w:cs="Arial" w:eastAsia="Arial" w:hAnsi="Arial"/>
          <w:sz w:val="20"/>
          <w:szCs w:val="20"/>
          <w:color w:val="auto"/>
        </w:rPr>
        <w:t>consolidated statements of earnings and comprehensive earnings.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91" w:lineRule="exact"/>
        <w:rPr>
          <w:sz w:val="20"/>
          <w:szCs w:val="20"/>
          <w:color w:val="auto"/>
        </w:rPr>
      </w:pPr>
    </w:p>
    <w:p>
      <w:pPr>
        <w:ind w:left="380" w:right="7820" w:hanging="372"/>
        <w:spacing w:after="0" w:line="394" w:lineRule="auto"/>
        <w:tabs>
          <w:tab w:leader="none" w:pos="37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Legal and Administrative Proceedings</w:t>
      </w:r>
    </w:p>
    <w:p>
      <w:pPr>
        <w:spacing w:after="0" w:line="1" w:lineRule="exact"/>
        <w:rPr>
          <w:rFonts w:ascii="Arial" w:cs="Arial" w:eastAsia="Arial" w:hAnsi="Arial"/>
          <w:sz w:val="18"/>
          <w:szCs w:val="18"/>
          <w:b w:val="1"/>
          <w:bCs w:val="1"/>
          <w:color w:val="auto"/>
        </w:rPr>
      </w:pPr>
    </w:p>
    <w:p>
      <w:pPr>
        <w:jc w:val="both"/>
        <w:ind w:left="380"/>
        <w:spacing w:after="0" w:line="256" w:lineRule="auto"/>
        <w:rPr>
          <w:rFonts w:ascii="Arial" w:cs="Arial" w:eastAsia="Arial" w:hAnsi="Arial"/>
          <w:sz w:val="18"/>
          <w:szCs w:val="18"/>
          <w:b w:val="1"/>
          <w:bCs w:val="1"/>
          <w:color w:val="auto"/>
        </w:rPr>
      </w:pPr>
      <w:r>
        <w:rPr>
          <w:rFonts w:ascii="Arial" w:cs="Arial" w:eastAsia="Arial" w:hAnsi="Arial"/>
          <w:sz w:val="19"/>
          <w:szCs w:val="19"/>
          <w:color w:val="auto"/>
        </w:rPr>
        <w:t>The Company is engaged in certain legal and administrative proceedings incidental to its normal business activities, including matters relating to environmental protection. The Company considers various factors in assessing the probable outcome of each matter, including but not limited to the nature of existing legal proceedings and claims, the asserted or possible damages, the jurisdiction and venue of the case and whether it is a jury trial, the progress of the case, existing law and precedent, the opinions or views of legal counsel and other advisers, the Company’s experience in similar cases and the experience of other companies, the facts available to the Company at the time of assessment, and how the Company intends to respond to the proceeding or claim. The Company’s assessment of these factors may change over time as proceedings or claims progress. The Company believes the probability is remote that the outcome of any currently pending legal or administrative proceeding will result in a material loss to the Company as a whole, based on currently available facts.</w:t>
      </w:r>
    </w:p>
    <w:p>
      <w:pPr>
        <w:spacing w:after="0" w:line="76"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20"/>
          <w:szCs w:val="20"/>
          <w:u w:val="single" w:color="auto"/>
          <w:color w:val="auto"/>
        </w:rPr>
        <w:t>Borrowing Arrangements with Affiliate</w:t>
      </w:r>
    </w:p>
    <w:p>
      <w:pPr>
        <w:spacing w:after="0" w:line="107" w:lineRule="exact"/>
        <w:rPr>
          <w:rFonts w:ascii="Arial" w:cs="Arial" w:eastAsia="Arial" w:hAnsi="Arial"/>
          <w:sz w:val="18"/>
          <w:szCs w:val="18"/>
          <w:b w:val="1"/>
          <w:bCs w:val="1"/>
          <w:color w:val="auto"/>
        </w:rPr>
      </w:pPr>
    </w:p>
    <w:p>
      <w:pPr>
        <w:jc w:val="both"/>
        <w:ind w:left="38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The Company is a co-borrower with an unconsolidated affiliate for a $12.5 million revolving line of credit agreement with Truist Bank, of which $7.8 million was outstanding as of March 31, 2021 and has a maturity date of March 2022.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53" w:lineRule="exact"/>
        <w:rPr>
          <w:rFonts w:ascii="Arial" w:cs="Arial" w:eastAsia="Arial" w:hAnsi="Arial"/>
          <w:sz w:val="18"/>
          <w:szCs w:val="18"/>
          <w:b w:val="1"/>
          <w:bCs w:val="1"/>
          <w:color w:val="auto"/>
        </w:rPr>
      </w:pPr>
    </w:p>
    <w:p>
      <w:pPr>
        <w:ind w:left="380" w:right="20"/>
        <w:spacing w:after="0" w:line="287" w:lineRule="auto"/>
        <w:rPr>
          <w:rFonts w:ascii="Arial" w:cs="Arial" w:eastAsia="Arial" w:hAnsi="Arial"/>
          <w:sz w:val="18"/>
          <w:szCs w:val="18"/>
          <w:b w:val="1"/>
          <w:bCs w:val="1"/>
          <w:color w:val="auto"/>
        </w:rPr>
      </w:pPr>
      <w:r>
        <w:rPr>
          <w:rFonts w:ascii="Arial" w:cs="Arial" w:eastAsia="Arial" w:hAnsi="Arial"/>
          <w:sz w:val="19"/>
          <w:szCs w:val="19"/>
          <w:color w:val="auto"/>
        </w:rPr>
        <w:t>In addition, the Company has a $6.0 million interest-only loan, due December 31, 2022, outstanding from this unconsolidated affiliate as of March 31, 2021 and December 31, 2020. The interest rate is one-month LIBOR plus a current spread of 1.75%.</w:t>
      </w:r>
    </w:p>
    <w:p>
      <w:pPr>
        <w:spacing w:after="0" w:line="44"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20"/>
          <w:szCs w:val="20"/>
          <w:u w:val="single" w:color="auto"/>
          <w:color w:val="auto"/>
        </w:rPr>
        <w:t>Letters of Credit</w:t>
      </w:r>
    </w:p>
    <w:p>
      <w:pPr>
        <w:spacing w:after="0" w:line="107" w:lineRule="exact"/>
        <w:rPr>
          <w:rFonts w:ascii="Arial" w:cs="Arial" w:eastAsia="Arial" w:hAnsi="Arial"/>
          <w:sz w:val="18"/>
          <w:szCs w:val="18"/>
          <w:b w:val="1"/>
          <w:bCs w:val="1"/>
          <w:color w:val="auto"/>
        </w:rPr>
      </w:pPr>
    </w:p>
    <w:p>
      <w:pPr>
        <w:jc w:val="both"/>
        <w:ind w:left="380"/>
        <w:spacing w:after="0" w:line="291" w:lineRule="auto"/>
        <w:rPr>
          <w:rFonts w:ascii="Arial" w:cs="Arial" w:eastAsia="Arial" w:hAnsi="Arial"/>
          <w:sz w:val="18"/>
          <w:szCs w:val="18"/>
          <w:b w:val="1"/>
          <w:bCs w:val="1"/>
          <w:color w:val="auto"/>
        </w:rPr>
      </w:pPr>
      <w:r>
        <w:rPr>
          <w:rFonts w:ascii="Arial" w:cs="Arial" w:eastAsia="Arial" w:hAnsi="Arial"/>
          <w:sz w:val="18"/>
          <w:szCs w:val="18"/>
          <w:color w:val="auto"/>
        </w:rPr>
        <w:t>In the normal course of business, the Company provides certain third parties with standby letter of credit agreements guaranteeing its payment for certain insurance claims, contract performance and permit requirements. At March 31, 2021, the Company was contingently liable for $32.0 million in letters of credit, of which $2.6 million were issued under the Company’s Revolving Facility.</w:t>
      </w:r>
    </w:p>
    <w:p>
      <w:pPr>
        <w:spacing w:after="0" w:line="253" w:lineRule="exact"/>
        <w:rPr>
          <w:rFonts w:ascii="Arial" w:cs="Arial" w:eastAsia="Arial" w:hAnsi="Arial"/>
          <w:sz w:val="18"/>
          <w:szCs w:val="18"/>
          <w:b w:val="1"/>
          <w:bCs w:val="1"/>
          <w:color w:val="auto"/>
        </w:rPr>
      </w:pPr>
    </w:p>
    <w:p>
      <w:pPr>
        <w:ind w:left="380" w:hanging="372"/>
        <w:spacing w:after="0"/>
        <w:tabs>
          <w:tab w:leader="none" w:pos="3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w:t>
      </w:r>
    </w:p>
    <w:p>
      <w:pPr>
        <w:spacing w:after="0" w:line="113" w:lineRule="exact"/>
        <w:rPr>
          <w:rFonts w:ascii="Arial" w:cs="Arial" w:eastAsia="Arial" w:hAnsi="Arial"/>
          <w:sz w:val="20"/>
          <w:szCs w:val="20"/>
          <w:b w:val="1"/>
          <w:bCs w:val="1"/>
          <w:color w:val="auto"/>
        </w:rPr>
      </w:pPr>
    </w:p>
    <w:p>
      <w:pPr>
        <w:jc w:val="both"/>
        <w:ind w:left="38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The Building Material business contains two reportable segments: the East Group and the West Group. The Company also has a Magnesia Specialties segment. The Company’s evaluation of performance and allocation of resources are based primarily on earnings from operations. Consolidated earnings from operations include total revenues less cost of revenues; selling, general and administrative expenses; acquisition-related expenses; other operating income and expenses, net; and exclude interest expense; other nonoperating income and expenses, net; and income taxes. Corporate loss from operations primarily includes depreciation; expenses for corporate administrative functions; acquisition-related expenses; and other nonrecurring income and expenses excluded from the Company’s evaluation of business segment performance and resource allocation. All long-term debt and related interest expense are held at Corporate.</w:t>
      </w:r>
    </w:p>
    <w:p>
      <w:pPr>
        <w:spacing w:after="0" w:line="88"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The following table displays selected financial data for the Company’s reportable segments. Total revenues, as presented on the consolidated statements of earnings and comprehensive earnings, exclude intersegment revenues, which represent sales from one segment to another segment and are eliminated in consolidation.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960" w:type="dxa"/>
            <w:vAlign w:val="bottom"/>
            <w:gridSpan w:val="4"/>
          </w:tcPr>
          <w:p>
            <w:pPr>
              <w:jc w:val="center"/>
              <w:spacing w:after="0"/>
              <w:rPr>
                <w:sz w:val="20"/>
                <w:szCs w:val="20"/>
                <w:color w:val="auto"/>
              </w:rPr>
            </w:pPr>
            <w:r>
              <w:rPr>
                <w:rFonts w:ascii="Arial" w:cs="Arial" w:eastAsia="Arial" w:hAnsi="Arial"/>
                <w:sz w:val="20"/>
                <w:szCs w:val="20"/>
                <w:color w:val="auto"/>
                <w:w w:val="89"/>
              </w:rPr>
              <w:t>Three Months Ended</w:t>
            </w: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6"/>
        </w:trPr>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89"/>
              </w:rPr>
              <w:t>March 31,</w:t>
            </w:r>
          </w:p>
        </w:tc>
        <w:tc>
          <w:tcPr>
            <w:tcW w:w="1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6"/>
        </w:trPr>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5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2021</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881"/>
              <w:spacing w:after="0"/>
              <w:rPr>
                <w:sz w:val="20"/>
                <w:szCs w:val="20"/>
                <w:color w:val="auto"/>
              </w:rPr>
            </w:pPr>
            <w:r>
              <w:rPr>
                <w:rFonts w:ascii="Arial" w:cs="Arial" w:eastAsia="Arial" w:hAnsi="Arial"/>
                <w:sz w:val="20"/>
                <w:szCs w:val="20"/>
                <w:color w:val="auto"/>
              </w:rPr>
              <w:t>2020</w:t>
            </w:r>
          </w:p>
        </w:tc>
        <w:tc>
          <w:tcPr>
            <w:tcW w:w="120" w:type="dxa"/>
            <w:vAlign w:val="bottom"/>
          </w:tcPr>
          <w:p>
            <w:pPr>
              <w:spacing w:after="0"/>
              <w:rPr>
                <w:sz w:val="20"/>
                <w:szCs w:val="20"/>
                <w:color w:val="auto"/>
              </w:rPr>
            </w:pPr>
          </w:p>
        </w:tc>
      </w:tr>
      <w:tr>
        <w:trPr>
          <w:trHeight w:val="237"/>
        </w:trPr>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960" w:type="dxa"/>
            <w:vAlign w:val="bottom"/>
            <w:gridSpan w:val="4"/>
          </w:tcPr>
          <w:p>
            <w:pPr>
              <w:jc w:val="center"/>
              <w:spacing w:after="0"/>
              <w:rPr>
                <w:sz w:val="20"/>
                <w:szCs w:val="20"/>
                <w:color w:val="auto"/>
              </w:rPr>
            </w:pPr>
            <w:r>
              <w:rPr>
                <w:rFonts w:ascii="Arial" w:cs="Arial" w:eastAsia="Arial" w:hAnsi="Arial"/>
                <w:sz w:val="20"/>
                <w:szCs w:val="20"/>
                <w:i w:val="1"/>
                <w:iCs w:val="1"/>
                <w:color w:val="auto"/>
                <w:w w:val="97"/>
              </w:rPr>
              <w:t>(Dollars in Millions)</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140" w:type="dxa"/>
            <w:vAlign w:val="bottom"/>
            <w:gridSpan w:val="4"/>
            <w:shd w:val="clear" w:color="auto" w:fill="CFF0FC"/>
          </w:tcPr>
          <w:p>
            <w:pPr>
              <w:spacing w:after="0" w:line="203" w:lineRule="exact"/>
              <w:rPr>
                <w:sz w:val="20"/>
                <w:szCs w:val="20"/>
                <w:color w:val="auto"/>
              </w:rPr>
            </w:pPr>
            <w:r>
              <w:rPr>
                <w:rFonts w:ascii="Arial" w:cs="Arial" w:eastAsia="Arial" w:hAnsi="Arial"/>
                <w:sz w:val="20"/>
                <w:szCs w:val="20"/>
                <w:color w:val="auto"/>
              </w:rPr>
              <w:t>Total revenues:</w:t>
            </w:r>
          </w:p>
        </w:tc>
        <w:tc>
          <w:tcPr>
            <w:tcW w:w="15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11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East Group</w:t>
            </w:r>
          </w:p>
        </w:tc>
        <w:tc>
          <w:tcPr>
            <w:tcW w:w="4980" w:type="dxa"/>
            <w:vAlign w:val="bottom"/>
            <w:tcBorders>
              <w:top w:val="single" w:sz="8" w:color="CFF0FC"/>
            </w:tcBorders>
            <w:gridSpan w:val="3"/>
          </w:tcPr>
          <w:p>
            <w:pPr>
              <w:spacing w:after="0"/>
              <w:rPr>
                <w:sz w:val="21"/>
                <w:szCs w:val="21"/>
                <w:color w:val="auto"/>
              </w:rPr>
            </w:pPr>
          </w:p>
        </w:tc>
        <w:tc>
          <w:tcPr>
            <w:tcW w:w="1500" w:type="dxa"/>
            <w:vAlign w:val="bottom"/>
            <w:tcBorders>
              <w:top w:val="single" w:sz="8" w:color="CFF0FC"/>
            </w:tcBorders>
          </w:tcPr>
          <w:p>
            <w:pPr>
              <w:jc w:val="right"/>
              <w:ind w:right="1301"/>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394.9</w:t>
            </w:r>
          </w:p>
        </w:tc>
        <w:tc>
          <w:tcPr>
            <w:tcW w:w="220" w:type="dxa"/>
            <w:vAlign w:val="bottom"/>
            <w:tcBorders>
              <w:top w:val="single" w:sz="8" w:color="CFF0FC"/>
            </w:tcBorders>
          </w:tcPr>
          <w:p>
            <w:pPr>
              <w:spacing w:after="0"/>
              <w:rPr>
                <w:sz w:val="21"/>
                <w:szCs w:val="21"/>
                <w:color w:val="auto"/>
              </w:rPr>
            </w:pPr>
          </w:p>
        </w:tc>
        <w:tc>
          <w:tcPr>
            <w:tcW w:w="940" w:type="dxa"/>
            <w:vAlign w:val="bottom"/>
            <w:tcBorders>
              <w:top w:val="single" w:sz="8" w:color="CFF0FC"/>
            </w:tcBorders>
            <w:gridSpan w:val="2"/>
          </w:tcPr>
          <w:p>
            <w:pPr>
              <w:jc w:val="right"/>
              <w:ind w:right="601"/>
              <w:spacing w:after="0"/>
              <w:rPr>
                <w:sz w:val="20"/>
                <w:szCs w:val="20"/>
                <w:color w:val="auto"/>
              </w:rPr>
            </w:pPr>
            <w:r>
              <w:rPr>
                <w:rFonts w:ascii="Arial" w:cs="Arial" w:eastAsia="Arial" w:hAnsi="Arial"/>
                <w:sz w:val="20"/>
                <w:szCs w:val="20"/>
                <w:color w:val="auto"/>
              </w:rPr>
              <w:t>$</w:t>
            </w:r>
          </w:p>
        </w:tc>
        <w:tc>
          <w:tcPr>
            <w:tcW w:w="15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381.9</w:t>
            </w:r>
          </w:p>
        </w:tc>
        <w:tc>
          <w:tcPr>
            <w:tcW w:w="120" w:type="dxa"/>
            <w:vAlign w:val="bottom"/>
            <w:tcBorders>
              <w:top w:val="single" w:sz="8" w:color="CFF0FC"/>
            </w:tcBorders>
          </w:tcPr>
          <w:p>
            <w:pPr>
              <w:spacing w:after="0"/>
              <w:rPr>
                <w:sz w:val="21"/>
                <w:szCs w:val="21"/>
                <w:color w:val="auto"/>
              </w:rPr>
            </w:pPr>
          </w:p>
        </w:tc>
      </w:tr>
      <w:tr>
        <w:trPr>
          <w:trHeight w:val="243"/>
        </w:trPr>
        <w:tc>
          <w:tcPr>
            <w:tcW w:w="61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West Group</w:t>
            </w:r>
          </w:p>
        </w:tc>
        <w:tc>
          <w:tcPr>
            <w:tcW w:w="15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516.6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510.6</w:t>
            </w:r>
          </w:p>
        </w:tc>
        <w:tc>
          <w:tcPr>
            <w:tcW w:w="120" w:type="dxa"/>
            <w:vAlign w:val="bottom"/>
            <w:shd w:val="clear" w:color="auto" w:fill="CFF0FC"/>
          </w:tcPr>
          <w:p>
            <w:pPr>
              <w:spacing w:after="0"/>
              <w:rPr>
                <w:sz w:val="21"/>
                <w:szCs w:val="21"/>
                <w:color w:val="auto"/>
              </w:rPr>
            </w:pPr>
          </w:p>
        </w:tc>
      </w:tr>
      <w:tr>
        <w:trPr>
          <w:trHeight w:val="237"/>
        </w:trPr>
        <w:tc>
          <w:tcPr>
            <w:tcW w:w="6140" w:type="dxa"/>
            <w:vAlign w:val="bottom"/>
            <w:gridSpan w:val="4"/>
          </w:tcPr>
          <w:p>
            <w:pPr>
              <w:spacing w:after="0"/>
              <w:rPr>
                <w:sz w:val="20"/>
                <w:szCs w:val="20"/>
                <w:color w:val="auto"/>
              </w:rPr>
            </w:pPr>
            <w:r>
              <w:rPr>
                <w:rFonts w:ascii="Arial" w:cs="Arial" w:eastAsia="Arial" w:hAnsi="Arial"/>
                <w:sz w:val="20"/>
                <w:szCs w:val="20"/>
                <w:color w:val="auto"/>
              </w:rPr>
              <w:t>Total Building Materials business</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911.5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892.5</w:t>
            </w:r>
          </w:p>
        </w:tc>
        <w:tc>
          <w:tcPr>
            <w:tcW w:w="120" w:type="dxa"/>
            <w:vAlign w:val="bottom"/>
          </w:tcPr>
          <w:p>
            <w:pPr>
              <w:spacing w:after="0"/>
              <w:rPr>
                <w:sz w:val="20"/>
                <w:szCs w:val="20"/>
                <w:color w:val="auto"/>
              </w:rPr>
            </w:pPr>
          </w:p>
        </w:tc>
      </w:tr>
      <w:tr>
        <w:trPr>
          <w:trHeight w:val="243"/>
        </w:trPr>
        <w:tc>
          <w:tcPr>
            <w:tcW w:w="61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5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65.7</w:t>
            </w:r>
          </w:p>
        </w:tc>
        <w:tc>
          <w:tcPr>
            <w:tcW w:w="120" w:type="dxa"/>
            <w:vAlign w:val="bottom"/>
            <w:shd w:val="clear" w:color="auto" w:fill="CFF0FC"/>
          </w:tcPr>
          <w:p>
            <w:pPr>
              <w:spacing w:after="0"/>
              <w:rPr>
                <w:sz w:val="21"/>
                <w:szCs w:val="21"/>
                <w:color w:val="auto"/>
              </w:rPr>
            </w:pPr>
          </w:p>
        </w:tc>
      </w:tr>
      <w:tr>
        <w:trPr>
          <w:trHeight w:val="277"/>
        </w:trPr>
        <w:tc>
          <w:tcPr>
            <w:tcW w:w="614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Total</w:t>
            </w:r>
          </w:p>
        </w:tc>
        <w:tc>
          <w:tcPr>
            <w:tcW w:w="1500" w:type="dxa"/>
            <w:vAlign w:val="bottom"/>
            <w:tcBorders>
              <w:bottom w:val="single" w:sz="8" w:color="auto"/>
            </w:tcBorders>
          </w:tcPr>
          <w:p>
            <w:pPr>
              <w:jc w:val="right"/>
              <w:ind w:right="1301"/>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982.4</w:t>
            </w:r>
          </w:p>
        </w:tc>
        <w:tc>
          <w:tcPr>
            <w:tcW w:w="22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958.2</w:t>
            </w:r>
          </w:p>
        </w:tc>
        <w:tc>
          <w:tcPr>
            <w:tcW w:w="120" w:type="dxa"/>
            <w:vAlign w:val="bottom"/>
            <w:tcBorders>
              <w:bottom w:val="single" w:sz="8" w:color="CFF0FC"/>
            </w:tcBorders>
          </w:tcPr>
          <w:p>
            <w:pPr>
              <w:spacing w:after="0"/>
              <w:rPr>
                <w:sz w:val="24"/>
                <w:szCs w:val="24"/>
                <w:color w:val="auto"/>
              </w:rPr>
            </w:pPr>
          </w:p>
        </w:tc>
      </w:tr>
      <w:tr>
        <w:trPr>
          <w:trHeight w:val="223"/>
        </w:trPr>
        <w:tc>
          <w:tcPr>
            <w:tcW w:w="1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5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3"/>
        </w:trPr>
        <w:tc>
          <w:tcPr>
            <w:tcW w:w="6140" w:type="dxa"/>
            <w:vAlign w:val="bottom"/>
            <w:gridSpan w:val="4"/>
          </w:tcPr>
          <w:p>
            <w:pPr>
              <w:spacing w:after="0" w:line="203" w:lineRule="exact"/>
              <w:rPr>
                <w:sz w:val="20"/>
                <w:szCs w:val="20"/>
                <w:color w:val="auto"/>
              </w:rPr>
            </w:pPr>
            <w:r>
              <w:rPr>
                <w:rFonts w:ascii="Arial" w:cs="Arial" w:eastAsia="Arial" w:hAnsi="Arial"/>
                <w:sz w:val="20"/>
                <w:szCs w:val="20"/>
                <w:color w:val="auto"/>
              </w:rPr>
              <w:t>Products and services revenues:</w:t>
            </w:r>
          </w:p>
        </w:tc>
        <w:tc>
          <w:tcPr>
            <w:tcW w:w="1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3"/>
        </w:trPr>
        <w:tc>
          <w:tcPr>
            <w:tcW w:w="61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East Group</w:t>
            </w:r>
          </w:p>
        </w:tc>
        <w:tc>
          <w:tcPr>
            <w:tcW w:w="1500" w:type="dxa"/>
            <w:vAlign w:val="bottom"/>
            <w:shd w:val="clear" w:color="auto" w:fill="CFF0FC"/>
          </w:tcPr>
          <w:p>
            <w:pPr>
              <w:jc w:val="right"/>
              <w:ind w:right="1301"/>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372.5</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1"/>
              <w:spacing w:after="0"/>
              <w:rPr>
                <w:sz w:val="20"/>
                <w:szCs w:val="20"/>
                <w:color w:val="auto"/>
              </w:rPr>
            </w:pPr>
            <w:r>
              <w:rPr>
                <w:rFonts w:ascii="Arial" w:cs="Arial" w:eastAsia="Arial" w:hAnsi="Arial"/>
                <w:sz w:val="20"/>
                <w:szCs w:val="20"/>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357.9</w:t>
            </w:r>
          </w:p>
        </w:tc>
        <w:tc>
          <w:tcPr>
            <w:tcW w:w="120" w:type="dxa"/>
            <w:vAlign w:val="bottom"/>
            <w:shd w:val="clear" w:color="auto" w:fill="CFF0FC"/>
          </w:tcPr>
          <w:p>
            <w:pPr>
              <w:spacing w:after="0"/>
              <w:rPr>
                <w:sz w:val="21"/>
                <w:szCs w:val="21"/>
                <w:color w:val="auto"/>
              </w:rPr>
            </w:pPr>
          </w:p>
        </w:tc>
      </w:tr>
      <w:tr>
        <w:trPr>
          <w:trHeight w:val="243"/>
        </w:trPr>
        <w:tc>
          <w:tcPr>
            <w:tcW w:w="614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West Group</w:t>
            </w:r>
          </w:p>
        </w:tc>
        <w:tc>
          <w:tcPr>
            <w:tcW w:w="1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484.1</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473.2</w:t>
            </w:r>
          </w:p>
        </w:tc>
        <w:tc>
          <w:tcPr>
            <w:tcW w:w="120" w:type="dxa"/>
            <w:vAlign w:val="bottom"/>
            <w:tcBorders>
              <w:bottom w:val="single" w:sz="8" w:color="CFF0FC"/>
            </w:tcBorders>
          </w:tcPr>
          <w:p>
            <w:pPr>
              <w:spacing w:after="0"/>
              <w:rPr>
                <w:sz w:val="21"/>
                <w:szCs w:val="21"/>
                <w:color w:val="auto"/>
              </w:rPr>
            </w:pPr>
          </w:p>
        </w:tc>
      </w:tr>
      <w:tr>
        <w:trPr>
          <w:trHeight w:val="237"/>
        </w:trPr>
        <w:tc>
          <w:tcPr>
            <w:tcW w:w="61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5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856.6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831.1</w:t>
            </w:r>
          </w:p>
        </w:tc>
        <w:tc>
          <w:tcPr>
            <w:tcW w:w="120" w:type="dxa"/>
            <w:vAlign w:val="bottom"/>
            <w:shd w:val="clear" w:color="auto" w:fill="CFF0FC"/>
          </w:tcPr>
          <w:p>
            <w:pPr>
              <w:spacing w:after="0"/>
              <w:rPr>
                <w:sz w:val="20"/>
                <w:szCs w:val="20"/>
                <w:color w:val="auto"/>
              </w:rPr>
            </w:pPr>
          </w:p>
        </w:tc>
      </w:tr>
      <w:tr>
        <w:trPr>
          <w:trHeight w:val="243"/>
        </w:trPr>
        <w:tc>
          <w:tcPr>
            <w:tcW w:w="614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Magnesia Specialties</w:t>
            </w:r>
          </w:p>
        </w:tc>
        <w:tc>
          <w:tcPr>
            <w:tcW w:w="1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65.3</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59.9</w:t>
            </w:r>
          </w:p>
        </w:tc>
        <w:tc>
          <w:tcPr>
            <w:tcW w:w="120" w:type="dxa"/>
            <w:vAlign w:val="bottom"/>
            <w:tcBorders>
              <w:bottom w:val="single" w:sz="8" w:color="CFF0FC"/>
            </w:tcBorders>
          </w:tcPr>
          <w:p>
            <w:pPr>
              <w:spacing w:after="0"/>
              <w:rPr>
                <w:sz w:val="21"/>
                <w:szCs w:val="21"/>
                <w:color w:val="auto"/>
              </w:rPr>
            </w:pPr>
          </w:p>
        </w:tc>
      </w:tr>
      <w:tr>
        <w:trPr>
          <w:trHeight w:val="237"/>
        </w:trPr>
        <w:tc>
          <w:tcPr>
            <w:tcW w:w="614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Total</w:t>
            </w:r>
          </w:p>
        </w:tc>
        <w:tc>
          <w:tcPr>
            <w:tcW w:w="1500" w:type="dxa"/>
            <w:vAlign w:val="bottom"/>
            <w:tcBorders>
              <w:bottom w:val="single" w:sz="8" w:color="auto"/>
            </w:tcBorders>
            <w:shd w:val="clear" w:color="auto" w:fill="CFF0FC"/>
          </w:tcPr>
          <w:p>
            <w:pPr>
              <w:jc w:val="right"/>
              <w:ind w:right="1301"/>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921.9</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601"/>
              <w:spacing w:after="0"/>
              <w:rPr>
                <w:sz w:val="20"/>
                <w:szCs w:val="20"/>
                <w:color w:val="auto"/>
              </w:rPr>
            </w:pPr>
            <w:r>
              <w:rPr>
                <w:rFonts w:ascii="Arial" w:cs="Arial" w:eastAsia="Arial" w:hAnsi="Arial"/>
                <w:sz w:val="20"/>
                <w:szCs w:val="20"/>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891.0</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6140" w:type="dxa"/>
            <w:vAlign w:val="bottom"/>
            <w:gridSpan w:val="4"/>
            <w:shd w:val="clear" w:color="auto" w:fill="CFF0FC"/>
          </w:tcPr>
          <w:p>
            <w:pPr>
              <w:spacing w:after="0" w:line="203" w:lineRule="exact"/>
              <w:rPr>
                <w:sz w:val="20"/>
                <w:szCs w:val="20"/>
                <w:color w:val="auto"/>
              </w:rPr>
            </w:pPr>
            <w:r>
              <w:rPr>
                <w:rFonts w:ascii="Arial" w:cs="Arial" w:eastAsia="Arial" w:hAnsi="Arial"/>
                <w:sz w:val="20"/>
                <w:szCs w:val="20"/>
                <w:color w:val="auto"/>
              </w:rPr>
              <w:t>Earnings (Loss) from operations:</w:t>
            </w:r>
          </w:p>
        </w:tc>
        <w:tc>
          <w:tcPr>
            <w:tcW w:w="15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258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East Group</w:t>
            </w:r>
          </w:p>
        </w:tc>
        <w:tc>
          <w:tcPr>
            <w:tcW w:w="3560" w:type="dxa"/>
            <w:vAlign w:val="bottom"/>
            <w:tcBorders>
              <w:top w:val="single" w:sz="8" w:color="CFF0FC"/>
            </w:tcBorders>
          </w:tcPr>
          <w:p>
            <w:pPr>
              <w:spacing w:after="0"/>
              <w:rPr>
                <w:sz w:val="21"/>
                <w:szCs w:val="21"/>
                <w:color w:val="auto"/>
              </w:rPr>
            </w:pPr>
          </w:p>
        </w:tc>
        <w:tc>
          <w:tcPr>
            <w:tcW w:w="1500" w:type="dxa"/>
            <w:vAlign w:val="bottom"/>
            <w:tcBorders>
              <w:top w:val="single" w:sz="8" w:color="CFF0FC"/>
            </w:tcBorders>
          </w:tcPr>
          <w:p>
            <w:pPr>
              <w:jc w:val="right"/>
              <w:ind w:right="1301"/>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61.7</w:t>
            </w:r>
          </w:p>
        </w:tc>
        <w:tc>
          <w:tcPr>
            <w:tcW w:w="220" w:type="dxa"/>
            <w:vAlign w:val="bottom"/>
            <w:tcBorders>
              <w:top w:val="single" w:sz="8" w:color="CFF0FC"/>
            </w:tcBorders>
          </w:tcPr>
          <w:p>
            <w:pPr>
              <w:spacing w:after="0"/>
              <w:rPr>
                <w:sz w:val="21"/>
                <w:szCs w:val="21"/>
                <w:color w:val="auto"/>
              </w:rPr>
            </w:pPr>
          </w:p>
        </w:tc>
        <w:tc>
          <w:tcPr>
            <w:tcW w:w="940" w:type="dxa"/>
            <w:vAlign w:val="bottom"/>
            <w:tcBorders>
              <w:top w:val="single" w:sz="8" w:color="CFF0FC"/>
            </w:tcBorders>
            <w:gridSpan w:val="2"/>
          </w:tcPr>
          <w:p>
            <w:pPr>
              <w:jc w:val="right"/>
              <w:ind w:right="601"/>
              <w:spacing w:after="0"/>
              <w:rPr>
                <w:sz w:val="20"/>
                <w:szCs w:val="20"/>
                <w:color w:val="auto"/>
              </w:rPr>
            </w:pPr>
            <w:r>
              <w:rPr>
                <w:rFonts w:ascii="Arial" w:cs="Arial" w:eastAsia="Arial" w:hAnsi="Arial"/>
                <w:sz w:val="20"/>
                <w:szCs w:val="20"/>
                <w:color w:val="auto"/>
              </w:rPr>
              <w:t>$</w:t>
            </w:r>
          </w:p>
        </w:tc>
        <w:tc>
          <w:tcPr>
            <w:tcW w:w="15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34.8</w:t>
            </w:r>
          </w:p>
        </w:tc>
        <w:tc>
          <w:tcPr>
            <w:tcW w:w="120" w:type="dxa"/>
            <w:vAlign w:val="bottom"/>
            <w:tcBorders>
              <w:top w:val="single" w:sz="8" w:color="CFF0FC"/>
            </w:tcBorders>
          </w:tcPr>
          <w:p>
            <w:pPr>
              <w:spacing w:after="0"/>
              <w:rPr>
                <w:sz w:val="21"/>
                <w:szCs w:val="21"/>
                <w:color w:val="auto"/>
              </w:rPr>
            </w:pPr>
          </w:p>
        </w:tc>
      </w:tr>
      <w:tr>
        <w:trPr>
          <w:trHeight w:val="243"/>
        </w:trPr>
        <w:tc>
          <w:tcPr>
            <w:tcW w:w="61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West Group</w:t>
            </w:r>
          </w:p>
        </w:tc>
        <w:tc>
          <w:tcPr>
            <w:tcW w:w="15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22.7</w:t>
            </w:r>
          </w:p>
        </w:tc>
        <w:tc>
          <w:tcPr>
            <w:tcW w:w="120" w:type="dxa"/>
            <w:vAlign w:val="bottom"/>
            <w:shd w:val="clear" w:color="auto" w:fill="CFF0FC"/>
          </w:tcPr>
          <w:p>
            <w:pPr>
              <w:spacing w:after="0"/>
              <w:rPr>
                <w:sz w:val="21"/>
                <w:szCs w:val="21"/>
                <w:color w:val="auto"/>
              </w:rPr>
            </w:pPr>
          </w:p>
        </w:tc>
      </w:tr>
      <w:tr>
        <w:trPr>
          <w:trHeight w:val="236"/>
        </w:trPr>
        <w:tc>
          <w:tcPr>
            <w:tcW w:w="6140" w:type="dxa"/>
            <w:vAlign w:val="bottom"/>
            <w:gridSpan w:val="4"/>
          </w:tcPr>
          <w:p>
            <w:pPr>
              <w:spacing w:after="0"/>
              <w:rPr>
                <w:sz w:val="20"/>
                <w:szCs w:val="20"/>
                <w:color w:val="auto"/>
              </w:rPr>
            </w:pPr>
            <w:r>
              <w:rPr>
                <w:rFonts w:ascii="Arial" w:cs="Arial" w:eastAsia="Arial" w:hAnsi="Arial"/>
                <w:sz w:val="20"/>
                <w:szCs w:val="20"/>
                <w:color w:val="auto"/>
              </w:rPr>
              <w:t>Total Building Materials business</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93.6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57.5</w:t>
            </w:r>
          </w:p>
        </w:tc>
        <w:tc>
          <w:tcPr>
            <w:tcW w:w="120" w:type="dxa"/>
            <w:vAlign w:val="bottom"/>
          </w:tcPr>
          <w:p>
            <w:pPr>
              <w:spacing w:after="0"/>
              <w:rPr>
                <w:sz w:val="20"/>
                <w:szCs w:val="20"/>
                <w:color w:val="auto"/>
              </w:rPr>
            </w:pPr>
          </w:p>
        </w:tc>
      </w:tr>
      <w:tr>
        <w:trPr>
          <w:trHeight w:val="243"/>
        </w:trPr>
        <w:tc>
          <w:tcPr>
            <w:tcW w:w="61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5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21.7</w:t>
            </w:r>
          </w:p>
        </w:tc>
        <w:tc>
          <w:tcPr>
            <w:tcW w:w="120" w:type="dxa"/>
            <w:vAlign w:val="bottom"/>
            <w:shd w:val="clear" w:color="auto" w:fill="CFF0FC"/>
          </w:tcPr>
          <w:p>
            <w:pPr>
              <w:spacing w:after="0"/>
              <w:rPr>
                <w:sz w:val="21"/>
                <w:szCs w:val="21"/>
                <w:color w:val="auto"/>
              </w:rPr>
            </w:pPr>
          </w:p>
        </w:tc>
      </w:tr>
      <w:tr>
        <w:trPr>
          <w:trHeight w:val="243"/>
        </w:trPr>
        <w:tc>
          <w:tcPr>
            <w:tcW w:w="6140" w:type="dxa"/>
            <w:vAlign w:val="bottom"/>
            <w:gridSpan w:val="4"/>
          </w:tcPr>
          <w:p>
            <w:pPr>
              <w:spacing w:after="0"/>
              <w:rPr>
                <w:sz w:val="20"/>
                <w:szCs w:val="20"/>
                <w:color w:val="auto"/>
              </w:rPr>
            </w:pPr>
            <w:r>
              <w:rPr>
                <w:rFonts w:ascii="Arial" w:cs="Arial" w:eastAsia="Arial" w:hAnsi="Arial"/>
                <w:sz w:val="20"/>
                <w:szCs w:val="20"/>
                <w:color w:val="auto"/>
              </w:rPr>
              <w:t>Corporate</w:t>
            </w:r>
          </w:p>
        </w:tc>
        <w:tc>
          <w:tcPr>
            <w:tcW w:w="15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(17.8)</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20"/>
                <w:szCs w:val="20"/>
                <w:color w:val="auto"/>
              </w:rPr>
              <w:t>(21.4)</w:t>
            </w:r>
          </w:p>
        </w:tc>
      </w:tr>
      <w:tr>
        <w:trPr>
          <w:trHeight w:val="236"/>
        </w:trPr>
        <w:tc>
          <w:tcPr>
            <w:tcW w:w="6140" w:type="dxa"/>
            <w:vAlign w:val="bottom"/>
            <w:tcBorders>
              <w:top w:val="single" w:sz="8" w:color="CFF0FC"/>
              <w:bottom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Total</w:t>
            </w:r>
          </w:p>
        </w:tc>
        <w:tc>
          <w:tcPr>
            <w:tcW w:w="1500" w:type="dxa"/>
            <w:vAlign w:val="bottom"/>
            <w:tcBorders>
              <w:top w:val="single" w:sz="8" w:color="auto"/>
              <w:bottom w:val="single" w:sz="8" w:color="auto"/>
            </w:tcBorders>
            <w:shd w:val="clear" w:color="auto" w:fill="CFF0FC"/>
          </w:tcPr>
          <w:p>
            <w:pPr>
              <w:jc w:val="right"/>
              <w:ind w:right="1301"/>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99.3</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ind w:right="601"/>
              <w:spacing w:after="0"/>
              <w:rPr>
                <w:sz w:val="20"/>
                <w:szCs w:val="20"/>
                <w:color w:val="auto"/>
              </w:rPr>
            </w:pPr>
            <w:r>
              <w:rPr>
                <w:rFonts w:ascii="Arial" w:cs="Arial" w:eastAsia="Arial" w:hAnsi="Arial"/>
                <w:sz w:val="20"/>
                <w:szCs w:val="20"/>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57.8</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37" w:lineRule="exact"/>
        <w:rPr>
          <w:sz w:val="20"/>
          <w:szCs w:val="20"/>
          <w:color w:val="auto"/>
        </w:rPr>
      </w:pPr>
    </w:p>
    <w:p>
      <w:pPr>
        <w:ind w:left="380" w:hanging="372"/>
        <w:spacing w:after="0"/>
        <w:tabs>
          <w:tab w:leader="none" w:pos="3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Revenues and Gross Profit</w:t>
      </w:r>
    </w:p>
    <w:p>
      <w:pPr>
        <w:spacing w:after="0" w:line="113"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The Building Materials business includes the aggregates, cement, ready mixed concrete and asphalt and paving product lines. All cement, ready mixed concrete and asphalt and paving product lines reside in the West Group. The following table, which is reconciled to consolidated amounts, provides total revenues and gross profit by product line.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60" w:type="dxa"/>
            <w:vAlign w:val="bottom"/>
            <w:gridSpan w:val="4"/>
          </w:tcPr>
          <w:p>
            <w:pPr>
              <w:jc w:val="right"/>
              <w:ind w:right="223"/>
              <w:spacing w:after="0"/>
              <w:rPr>
                <w:sz w:val="20"/>
                <w:szCs w:val="20"/>
                <w:color w:val="auto"/>
              </w:rPr>
            </w:pPr>
            <w:r>
              <w:rPr>
                <w:rFonts w:ascii="Arial" w:cs="Arial" w:eastAsia="Arial" w:hAnsi="Arial"/>
                <w:sz w:val="20"/>
                <w:szCs w:val="20"/>
                <w:color w:val="auto"/>
                <w:w w:val="98"/>
              </w:rPr>
              <w:t>Three Months Ended</w:t>
            </w:r>
          </w:p>
        </w:tc>
        <w:tc>
          <w:tcPr>
            <w:tcW w:w="1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4"/>
          </w:tcPr>
          <w:p>
            <w:pPr>
              <w:jc w:val="right"/>
              <w:ind w:right="663"/>
              <w:spacing w:after="0"/>
              <w:rPr>
                <w:sz w:val="20"/>
                <w:szCs w:val="20"/>
                <w:color w:val="auto"/>
              </w:rPr>
            </w:pPr>
            <w:r>
              <w:rPr>
                <w:rFonts w:ascii="Arial" w:cs="Arial" w:eastAsia="Arial" w:hAnsi="Arial"/>
                <w:sz w:val="20"/>
                <w:szCs w:val="20"/>
                <w:color w:val="auto"/>
              </w:rPr>
              <w:t>March 31,</w:t>
            </w:r>
          </w:p>
        </w:tc>
        <w:tc>
          <w:tcPr>
            <w:tcW w:w="1480" w:type="dxa"/>
            <w:vAlign w:val="bottom"/>
            <w:tcBorders>
              <w:bottom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5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2021</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w w:val="98"/>
              </w:rPr>
              <w:t>2020</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60" w:type="dxa"/>
            <w:vAlign w:val="bottom"/>
            <w:gridSpan w:val="4"/>
          </w:tcPr>
          <w:p>
            <w:pPr>
              <w:jc w:val="right"/>
              <w:spacing w:after="0"/>
              <w:rPr>
                <w:sz w:val="20"/>
                <w:szCs w:val="20"/>
                <w:color w:val="auto"/>
              </w:rPr>
            </w:pPr>
            <w:r>
              <w:rPr>
                <w:rFonts w:ascii="Arial" w:cs="Arial" w:eastAsia="Arial" w:hAnsi="Arial"/>
                <w:sz w:val="20"/>
                <w:szCs w:val="20"/>
                <w:i w:val="1"/>
                <w:iCs w:val="1"/>
                <w:color w:val="auto"/>
              </w:rPr>
              <w:t>(Dollars in Millions)</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shd w:val="clear" w:color="auto" w:fill="CFF0FC"/>
          </w:tcPr>
          <w:p>
            <w:pPr>
              <w:spacing w:after="0" w:line="203" w:lineRule="exact"/>
              <w:rPr>
                <w:sz w:val="20"/>
                <w:szCs w:val="20"/>
                <w:color w:val="auto"/>
              </w:rPr>
            </w:pPr>
            <w:r>
              <w:rPr>
                <w:rFonts w:ascii="Arial" w:cs="Arial" w:eastAsia="Arial" w:hAnsi="Arial"/>
                <w:sz w:val="20"/>
                <w:szCs w:val="20"/>
                <w:color w:val="auto"/>
                <w:w w:val="87"/>
              </w:rPr>
              <w:t>Total revenues:</w:t>
            </w:r>
          </w:p>
        </w:tc>
        <w:tc>
          <w:tcPr>
            <w:tcW w:w="4300" w:type="dxa"/>
            <w:vAlign w:val="bottom"/>
            <w:tcBorders>
              <w:bottom w:val="single" w:sz="8" w:color="CFF0FC"/>
            </w:tcBorders>
            <w:gridSpan w:val="2"/>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spacing w:after="0"/>
              <w:rPr>
                <w:sz w:val="20"/>
                <w:szCs w:val="20"/>
                <w:color w:val="auto"/>
              </w:rPr>
            </w:pPr>
            <w:r>
              <w:rPr>
                <w:rFonts w:ascii="Arial" w:cs="Arial" w:eastAsia="Arial" w:hAnsi="Arial"/>
                <w:sz w:val="20"/>
                <w:szCs w:val="20"/>
                <w:color w:val="auto"/>
              </w:rPr>
              <w:t>Building Materials business:</w:t>
            </w:r>
          </w:p>
        </w:tc>
        <w:tc>
          <w:tcPr>
            <w:tcW w:w="1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Products and services:</w:t>
            </w:r>
          </w:p>
        </w:tc>
        <w:tc>
          <w:tcPr>
            <w:tcW w:w="15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260"/>
              <w:spacing w:after="0"/>
              <w:rPr>
                <w:sz w:val="20"/>
                <w:szCs w:val="20"/>
                <w:color w:val="auto"/>
              </w:rPr>
            </w:pPr>
            <w:r>
              <w:rPr>
                <w:rFonts w:ascii="Arial" w:cs="Arial" w:eastAsia="Arial" w:hAnsi="Arial"/>
                <w:sz w:val="20"/>
                <w:szCs w:val="20"/>
                <w:color w:val="auto"/>
              </w:rPr>
              <w:t>Aggregates</w:t>
            </w:r>
          </w:p>
        </w:tc>
        <w:tc>
          <w:tcPr>
            <w:tcW w:w="1580" w:type="dxa"/>
            <w:vAlign w:val="bottom"/>
          </w:tcPr>
          <w:p>
            <w:pPr>
              <w:jc w:val="right"/>
              <w:ind w:right="1381"/>
              <w:spacing w:after="0"/>
              <w:rPr>
                <w:sz w:val="20"/>
                <w:szCs w:val="20"/>
                <w:color w:val="auto"/>
              </w:rPr>
            </w:pPr>
            <w:r>
              <w:rPr>
                <w:rFonts w:ascii="Arial" w:cs="Arial" w:eastAsia="Arial" w:hAnsi="Arial"/>
                <w:sz w:val="20"/>
                <w:szCs w:val="20"/>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572.6</w:t>
            </w:r>
          </w:p>
        </w:tc>
        <w:tc>
          <w:tcPr>
            <w:tcW w:w="220" w:type="dxa"/>
            <w:vAlign w:val="bottom"/>
          </w:tcPr>
          <w:p>
            <w:pPr>
              <w:spacing w:after="0"/>
              <w:rPr>
                <w:sz w:val="21"/>
                <w:szCs w:val="21"/>
                <w:color w:val="auto"/>
              </w:rPr>
            </w:pPr>
          </w:p>
        </w:tc>
        <w:tc>
          <w:tcPr>
            <w:tcW w:w="1100" w:type="dxa"/>
            <w:vAlign w:val="bottom"/>
            <w:gridSpan w:val="2"/>
          </w:tcPr>
          <w:p>
            <w:pPr>
              <w:jc w:val="right"/>
              <w:ind w:right="783"/>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570.3</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Cement</w:t>
            </w:r>
          </w:p>
        </w:tc>
        <w:tc>
          <w:tcPr>
            <w:tcW w:w="15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106.6</w:t>
            </w:r>
          </w:p>
        </w:tc>
        <w:tc>
          <w:tcPr>
            <w:tcW w:w="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260"/>
              <w:spacing w:after="0"/>
              <w:rPr>
                <w:sz w:val="20"/>
                <w:szCs w:val="20"/>
                <w:color w:val="auto"/>
              </w:rPr>
            </w:pPr>
            <w:r>
              <w:rPr>
                <w:rFonts w:ascii="Arial" w:cs="Arial" w:eastAsia="Arial" w:hAnsi="Arial"/>
                <w:sz w:val="20"/>
                <w:szCs w:val="20"/>
                <w:color w:val="auto"/>
              </w:rPr>
              <w:t>Ready mixed concrete</w:t>
            </w:r>
          </w:p>
        </w:tc>
        <w:tc>
          <w:tcPr>
            <w:tcW w:w="15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235.3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189.7</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Asphalt and paving services</w:t>
            </w:r>
          </w:p>
        </w:tc>
        <w:tc>
          <w:tcPr>
            <w:tcW w:w="15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18.1</w:t>
            </w:r>
          </w:p>
        </w:tc>
        <w:tc>
          <w:tcPr>
            <w:tcW w:w="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260"/>
              <w:spacing w:after="0"/>
              <w:rPr>
                <w:sz w:val="20"/>
                <w:szCs w:val="20"/>
                <w:color w:val="auto"/>
              </w:rPr>
            </w:pPr>
            <w:r>
              <w:rPr>
                <w:rFonts w:ascii="Arial" w:cs="Arial" w:eastAsia="Arial" w:hAnsi="Arial"/>
                <w:sz w:val="20"/>
                <w:szCs w:val="20"/>
                <w:color w:val="auto"/>
              </w:rPr>
              <w:t>Less: interproduct revenues</w:t>
            </w:r>
          </w:p>
        </w:tc>
        <w:tc>
          <w:tcPr>
            <w:tcW w:w="15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20"/>
                <w:szCs w:val="20"/>
                <w:color w:val="auto"/>
              </w:rPr>
              <w:t>(73.1)</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20"/>
                <w:szCs w:val="20"/>
                <w:color w:val="auto"/>
              </w:rPr>
              <w:t>(53.6)</w:t>
            </w:r>
          </w:p>
        </w:tc>
        <w:tc>
          <w:tcPr>
            <w:tcW w:w="0" w:type="dxa"/>
            <w:vAlign w:val="bottom"/>
          </w:tcPr>
          <w:p>
            <w:pPr>
              <w:spacing w:after="0"/>
              <w:rPr>
                <w:sz w:val="1"/>
                <w:szCs w:val="1"/>
                <w:color w:val="auto"/>
              </w:rPr>
            </w:pPr>
          </w:p>
        </w:tc>
      </w:tr>
      <w:tr>
        <w:trPr>
          <w:trHeight w:val="237"/>
        </w:trPr>
        <w:tc>
          <w:tcPr>
            <w:tcW w:w="5520" w:type="dxa"/>
            <w:vAlign w:val="bottom"/>
            <w:tcBorders>
              <w:top w:val="single" w:sz="8" w:color="CFF0FC"/>
            </w:tcBorders>
            <w:gridSpan w:val="3"/>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15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856.6</w:t>
            </w: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831.1</w:t>
            </w:r>
          </w:p>
        </w:tc>
        <w:tc>
          <w:tcPr>
            <w:tcW w:w="5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FF0FC"/>
            </w:tcBorders>
            <w:gridSpan w:val="3"/>
          </w:tcPr>
          <w:p>
            <w:pPr>
              <w:ind w:left="140"/>
              <w:spacing w:after="0"/>
              <w:rPr>
                <w:sz w:val="20"/>
                <w:szCs w:val="20"/>
                <w:color w:val="auto"/>
              </w:rPr>
            </w:pPr>
            <w:r>
              <w:rPr>
                <w:rFonts w:ascii="Arial" w:cs="Arial" w:eastAsia="Arial" w:hAnsi="Arial"/>
                <w:sz w:val="20"/>
                <w:szCs w:val="20"/>
                <w:color w:val="auto"/>
              </w:rPr>
              <w:t>Freight</w:t>
            </w:r>
          </w:p>
        </w:tc>
        <w:tc>
          <w:tcPr>
            <w:tcW w:w="15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54.9</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61.4</w:t>
            </w:r>
          </w:p>
        </w:tc>
        <w:tc>
          <w:tcPr>
            <w:tcW w:w="5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5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5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911.5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892.5</w:t>
            </w:r>
          </w:p>
        </w:tc>
        <w:tc>
          <w:tcPr>
            <w:tcW w:w="5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spacing w:after="0"/>
              <w:rPr>
                <w:sz w:val="20"/>
                <w:szCs w:val="20"/>
                <w:color w:val="auto"/>
              </w:rPr>
            </w:pPr>
            <w:r>
              <w:rPr>
                <w:rFonts w:ascii="Arial" w:cs="Arial" w:eastAsia="Arial" w:hAnsi="Arial"/>
                <w:sz w:val="20"/>
                <w:szCs w:val="20"/>
                <w:color w:val="auto"/>
              </w:rPr>
              <w:t>Magnesia Specialties:</w:t>
            </w:r>
          </w:p>
        </w:tc>
        <w:tc>
          <w:tcPr>
            <w:tcW w:w="1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15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59.9</w:t>
            </w:r>
          </w:p>
        </w:tc>
        <w:tc>
          <w:tcPr>
            <w:tcW w:w="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FF0FC"/>
            </w:tcBorders>
            <w:gridSpan w:val="3"/>
          </w:tcPr>
          <w:p>
            <w:pPr>
              <w:ind w:left="140"/>
              <w:spacing w:after="0"/>
              <w:rPr>
                <w:sz w:val="20"/>
                <w:szCs w:val="20"/>
                <w:color w:val="auto"/>
              </w:rPr>
            </w:pPr>
            <w:r>
              <w:rPr>
                <w:rFonts w:ascii="Arial" w:cs="Arial" w:eastAsia="Arial" w:hAnsi="Arial"/>
                <w:sz w:val="20"/>
                <w:szCs w:val="20"/>
                <w:color w:val="auto"/>
              </w:rPr>
              <w:t>Freight</w:t>
            </w:r>
          </w:p>
        </w:tc>
        <w:tc>
          <w:tcPr>
            <w:tcW w:w="15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w:t>
            </w:r>
          </w:p>
        </w:tc>
        <w:tc>
          <w:tcPr>
            <w:tcW w:w="5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15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65.7</w:t>
            </w:r>
          </w:p>
        </w:tc>
        <w:tc>
          <w:tcPr>
            <w:tcW w:w="5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20" w:type="dxa"/>
            <w:vAlign w:val="bottom"/>
            <w:gridSpan w:val="3"/>
          </w:tcPr>
          <w:p>
            <w:pPr>
              <w:spacing w:after="0"/>
              <w:rPr>
                <w:sz w:val="20"/>
                <w:szCs w:val="20"/>
                <w:color w:val="auto"/>
              </w:rPr>
            </w:pPr>
            <w:r>
              <w:rPr>
                <w:rFonts w:ascii="Arial" w:cs="Arial" w:eastAsia="Arial" w:hAnsi="Arial"/>
                <w:sz w:val="20"/>
                <w:szCs w:val="20"/>
                <w:color w:val="auto"/>
              </w:rPr>
              <w:t>Total</w:t>
            </w:r>
          </w:p>
        </w:tc>
        <w:tc>
          <w:tcPr>
            <w:tcW w:w="1580" w:type="dxa"/>
            <w:vAlign w:val="bottom"/>
            <w:tcBorders>
              <w:bottom w:val="single" w:sz="8" w:color="auto"/>
            </w:tcBorders>
          </w:tcPr>
          <w:p>
            <w:pPr>
              <w:jc w:val="right"/>
              <w:ind w:right="1381"/>
              <w:spacing w:after="0"/>
              <w:rPr>
                <w:sz w:val="20"/>
                <w:szCs w:val="20"/>
                <w:color w:val="auto"/>
              </w:rPr>
            </w:pPr>
            <w:r>
              <w:rPr>
                <w:rFonts w:ascii="Arial" w:cs="Arial" w:eastAsia="Arial" w:hAnsi="Arial"/>
                <w:sz w:val="20"/>
                <w:szCs w:val="2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958.2</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20"/>
                <w:szCs w:val="20"/>
                <w:color w:val="auto"/>
              </w:rPr>
              <w:t>Gross profit (loss):</w:t>
            </w:r>
          </w:p>
        </w:tc>
        <w:tc>
          <w:tcPr>
            <w:tcW w:w="1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20" w:type="dxa"/>
            <w:vAlign w:val="bottom"/>
            <w:gridSpan w:val="3"/>
            <w:vMerge w:val="continue"/>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15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spacing w:after="0"/>
              <w:rPr>
                <w:sz w:val="20"/>
                <w:szCs w:val="20"/>
                <w:color w:val="auto"/>
              </w:rPr>
            </w:pPr>
            <w:r>
              <w:rPr>
                <w:rFonts w:ascii="Arial" w:cs="Arial" w:eastAsia="Arial" w:hAnsi="Arial"/>
                <w:sz w:val="20"/>
                <w:szCs w:val="20"/>
                <w:color w:val="auto"/>
              </w:rPr>
              <w:t>Products and services:</w:t>
            </w:r>
          </w:p>
        </w:tc>
        <w:tc>
          <w:tcPr>
            <w:tcW w:w="1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Aggregates</w:t>
            </w:r>
          </w:p>
        </w:tc>
        <w:tc>
          <w:tcPr>
            <w:tcW w:w="1580" w:type="dxa"/>
            <w:vAlign w:val="bottom"/>
            <w:shd w:val="clear" w:color="auto" w:fill="CFF0FC"/>
          </w:tcPr>
          <w:p>
            <w:pPr>
              <w:jc w:val="right"/>
              <w:ind w:right="1381"/>
              <w:spacing w:after="0"/>
              <w:rPr>
                <w:sz w:val="20"/>
                <w:szCs w:val="20"/>
                <w:color w:val="auto"/>
              </w:rPr>
            </w:pPr>
            <w:r>
              <w:rPr>
                <w:rFonts w:ascii="Arial" w:cs="Arial" w:eastAsia="Arial" w:hAnsi="Arial"/>
                <w:sz w:val="20"/>
                <w:szCs w:val="2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121.8</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783"/>
              <w:spacing w:after="0"/>
              <w:rPr>
                <w:sz w:val="20"/>
                <w:szCs w:val="20"/>
                <w:color w:val="auto"/>
              </w:rPr>
            </w:pPr>
            <w:r>
              <w:rPr>
                <w:rFonts w:ascii="Arial" w:cs="Arial" w:eastAsia="Arial" w:hAnsi="Arial"/>
                <w:sz w:val="20"/>
                <w:szCs w:val="20"/>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93.4</w:t>
            </w:r>
          </w:p>
        </w:tc>
        <w:tc>
          <w:tcPr>
            <w:tcW w:w="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260"/>
              <w:spacing w:after="0"/>
              <w:rPr>
                <w:sz w:val="20"/>
                <w:szCs w:val="20"/>
                <w:color w:val="auto"/>
              </w:rPr>
            </w:pPr>
            <w:r>
              <w:rPr>
                <w:rFonts w:ascii="Arial" w:cs="Arial" w:eastAsia="Arial" w:hAnsi="Arial"/>
                <w:sz w:val="20"/>
                <w:szCs w:val="20"/>
                <w:color w:val="auto"/>
              </w:rPr>
              <w:t>Cement</w:t>
            </w:r>
          </w:p>
        </w:tc>
        <w:tc>
          <w:tcPr>
            <w:tcW w:w="15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15.3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27.3</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Ready mixed concrete</w:t>
            </w:r>
          </w:p>
        </w:tc>
        <w:tc>
          <w:tcPr>
            <w:tcW w:w="15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w:t>
            </w:r>
          </w:p>
        </w:tc>
        <w:tc>
          <w:tcPr>
            <w:tcW w:w="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260"/>
              <w:spacing w:after="0"/>
              <w:rPr>
                <w:sz w:val="20"/>
                <w:szCs w:val="20"/>
                <w:color w:val="auto"/>
              </w:rPr>
            </w:pPr>
            <w:r>
              <w:rPr>
                <w:rFonts w:ascii="Arial" w:cs="Arial" w:eastAsia="Arial" w:hAnsi="Arial"/>
                <w:sz w:val="20"/>
                <w:szCs w:val="20"/>
                <w:color w:val="auto"/>
              </w:rPr>
              <w:t>Asphalt and paving services</w:t>
            </w:r>
          </w:p>
        </w:tc>
        <w:tc>
          <w:tcPr>
            <w:tcW w:w="15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20"/>
                <w:szCs w:val="20"/>
                <w:color w:val="auto"/>
              </w:rPr>
              <w:t>(8.2)</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36"/>
        </w:trPr>
        <w:tc>
          <w:tcPr>
            <w:tcW w:w="5520" w:type="dxa"/>
            <w:vAlign w:val="bottom"/>
            <w:tcBorders>
              <w:top w:val="single" w:sz="8" w:color="CFF0FC"/>
            </w:tcBorders>
            <w:gridSpan w:val="3"/>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15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148.3</w:t>
            </w: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118.5</w:t>
            </w:r>
          </w:p>
        </w:tc>
        <w:tc>
          <w:tcPr>
            <w:tcW w:w="5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140"/>
              <w:spacing w:after="0"/>
              <w:rPr>
                <w:sz w:val="20"/>
                <w:szCs w:val="20"/>
                <w:color w:val="auto"/>
              </w:rPr>
            </w:pPr>
            <w:r>
              <w:rPr>
                <w:rFonts w:ascii="Arial" w:cs="Arial" w:eastAsia="Arial" w:hAnsi="Arial"/>
                <w:sz w:val="20"/>
                <w:szCs w:val="20"/>
                <w:color w:val="auto"/>
              </w:rPr>
              <w:t>Freight</w:t>
            </w:r>
          </w:p>
        </w:tc>
        <w:tc>
          <w:tcPr>
            <w:tcW w:w="15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20"/>
                <w:szCs w:val="20"/>
                <w:color w:val="auto"/>
              </w:rPr>
              <w:t>(0.3)</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20"/>
                <w:szCs w:val="20"/>
                <w:color w:val="auto"/>
              </w:rPr>
              <w:t>(0.3)</w:t>
            </w:r>
          </w:p>
        </w:tc>
        <w:tc>
          <w:tcPr>
            <w:tcW w:w="0" w:type="dxa"/>
            <w:vAlign w:val="bottom"/>
          </w:tcPr>
          <w:p>
            <w:pPr>
              <w:spacing w:after="0"/>
              <w:rPr>
                <w:sz w:val="1"/>
                <w:szCs w:val="1"/>
                <w:color w:val="auto"/>
              </w:rPr>
            </w:pPr>
          </w:p>
        </w:tc>
      </w:tr>
      <w:tr>
        <w:trPr>
          <w:trHeight w:val="236"/>
        </w:trPr>
        <w:tc>
          <w:tcPr>
            <w:tcW w:w="55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5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148.0</w:t>
            </w: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118.2</w:t>
            </w:r>
          </w:p>
        </w:tc>
        <w:tc>
          <w:tcPr>
            <w:tcW w:w="5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spacing w:after="0"/>
              <w:rPr>
                <w:sz w:val="20"/>
                <w:szCs w:val="20"/>
                <w:color w:val="auto"/>
              </w:rPr>
            </w:pPr>
            <w:r>
              <w:rPr>
                <w:rFonts w:ascii="Arial" w:cs="Arial" w:eastAsia="Arial" w:hAnsi="Arial"/>
                <w:sz w:val="20"/>
                <w:szCs w:val="20"/>
                <w:color w:val="auto"/>
              </w:rPr>
              <w:t>Magnesia Specialties:</w:t>
            </w:r>
          </w:p>
        </w:tc>
        <w:tc>
          <w:tcPr>
            <w:tcW w:w="1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15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26.1</w:t>
            </w:r>
          </w:p>
        </w:tc>
        <w:tc>
          <w:tcPr>
            <w:tcW w:w="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140"/>
              <w:spacing w:after="0"/>
              <w:rPr>
                <w:sz w:val="20"/>
                <w:szCs w:val="20"/>
                <w:color w:val="auto"/>
              </w:rPr>
            </w:pPr>
            <w:r>
              <w:rPr>
                <w:rFonts w:ascii="Arial" w:cs="Arial" w:eastAsia="Arial" w:hAnsi="Arial"/>
                <w:sz w:val="20"/>
                <w:szCs w:val="20"/>
                <w:color w:val="auto"/>
              </w:rPr>
              <w:t>Freight</w:t>
            </w:r>
          </w:p>
        </w:tc>
        <w:tc>
          <w:tcPr>
            <w:tcW w:w="15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20"/>
                <w:szCs w:val="20"/>
                <w:color w:val="auto"/>
              </w:rPr>
              <w:t>(0.9)</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20"/>
                <w:szCs w:val="20"/>
                <w:color w:val="auto"/>
              </w:rPr>
              <w:t>(0.9)</w:t>
            </w:r>
          </w:p>
        </w:tc>
        <w:tc>
          <w:tcPr>
            <w:tcW w:w="0" w:type="dxa"/>
            <w:vAlign w:val="bottom"/>
          </w:tcPr>
          <w:p>
            <w:pPr>
              <w:spacing w:after="0"/>
              <w:rPr>
                <w:sz w:val="1"/>
                <w:szCs w:val="1"/>
                <w:color w:val="auto"/>
              </w:rPr>
            </w:pPr>
          </w:p>
        </w:tc>
      </w:tr>
      <w:tr>
        <w:trPr>
          <w:trHeight w:val="236"/>
        </w:trPr>
        <w:tc>
          <w:tcPr>
            <w:tcW w:w="55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15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27.5</w:t>
            </w: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25.2</w:t>
            </w:r>
          </w:p>
        </w:tc>
        <w:tc>
          <w:tcPr>
            <w:tcW w:w="5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spacing w:after="0"/>
              <w:rPr>
                <w:sz w:val="20"/>
                <w:szCs w:val="20"/>
                <w:color w:val="auto"/>
              </w:rPr>
            </w:pPr>
            <w:r>
              <w:rPr>
                <w:rFonts w:ascii="Arial" w:cs="Arial" w:eastAsia="Arial" w:hAnsi="Arial"/>
                <w:sz w:val="20"/>
                <w:szCs w:val="20"/>
                <w:color w:val="auto"/>
              </w:rPr>
              <w:t>Corporate</w:t>
            </w:r>
          </w:p>
        </w:tc>
        <w:tc>
          <w:tcPr>
            <w:tcW w:w="15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20"/>
                <w:szCs w:val="20"/>
                <w:color w:val="auto"/>
              </w:rPr>
              <w:t>(0.8)</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37"/>
        </w:trPr>
        <w:tc>
          <w:tcPr>
            <w:tcW w:w="552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w:t>
            </w:r>
          </w:p>
        </w:tc>
        <w:tc>
          <w:tcPr>
            <w:tcW w:w="1580" w:type="dxa"/>
            <w:vAlign w:val="bottom"/>
            <w:tcBorders>
              <w:top w:val="single" w:sz="8" w:color="auto"/>
              <w:bottom w:val="single" w:sz="8" w:color="auto"/>
            </w:tcBorders>
            <w:shd w:val="clear" w:color="auto" w:fill="CFF0FC"/>
          </w:tcPr>
          <w:p>
            <w:pPr>
              <w:jc w:val="right"/>
              <w:ind w:right="1381"/>
              <w:spacing w:after="0"/>
              <w:rPr>
                <w:sz w:val="20"/>
                <w:szCs w:val="20"/>
                <w:color w:val="auto"/>
              </w:rPr>
            </w:pPr>
            <w:r>
              <w:rPr>
                <w:rFonts w:ascii="Arial" w:cs="Arial" w:eastAsia="Arial" w:hAnsi="Arial"/>
                <w:sz w:val="20"/>
                <w:szCs w:val="2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174.7</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ind w:right="783"/>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142.4</w:t>
            </w:r>
          </w:p>
        </w:tc>
        <w:tc>
          <w:tcPr>
            <w:tcW w:w="5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420" w:type="dxa"/>
            <w:vAlign w:val="bottom"/>
          </w:tcPr>
          <w:p>
            <w:pPr>
              <w:spacing w:after="0"/>
              <w:rPr>
                <w:sz w:val="20"/>
                <w:szCs w:val="20"/>
                <w:color w:val="auto"/>
              </w:rPr>
            </w:pPr>
            <w:r>
              <w:rPr>
                <w:rFonts w:ascii="Arial" w:cs="Arial" w:eastAsia="Arial" w:hAnsi="Arial"/>
                <w:sz w:val="20"/>
                <w:szCs w:val="20"/>
                <w:b w:val="1"/>
                <w:bCs w:val="1"/>
                <w:color w:val="auto"/>
              </w:rPr>
              <w:t>11. Supplemental Cash Flow Information</w:t>
            </w: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38"/>
        </w:trPr>
        <w:tc>
          <w:tcPr>
            <w:tcW w:w="6420" w:type="dxa"/>
            <w:vAlign w:val="bottom"/>
          </w:tcPr>
          <w:p>
            <w:pPr>
              <w:ind w:left="380"/>
              <w:spacing w:after="0"/>
              <w:rPr>
                <w:sz w:val="20"/>
                <w:szCs w:val="20"/>
                <w:color w:val="auto"/>
              </w:rPr>
            </w:pPr>
            <w:r>
              <w:rPr>
                <w:rFonts w:ascii="Arial" w:cs="Arial" w:eastAsia="Arial" w:hAnsi="Arial"/>
                <w:sz w:val="20"/>
                <w:szCs w:val="20"/>
                <w:color w:val="auto"/>
              </w:rPr>
              <w:t>Noncash investing and financing activities are as follows:</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6"/>
        </w:trPr>
        <w:tc>
          <w:tcPr>
            <w:tcW w:w="6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20"/>
                <w:szCs w:val="20"/>
                <w:color w:val="auto"/>
              </w:rPr>
              <w:t>March 31,</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6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41"/>
              <w:spacing w:after="0"/>
              <w:rPr>
                <w:sz w:val="20"/>
                <w:szCs w:val="20"/>
                <w:color w:val="auto"/>
              </w:rPr>
            </w:pPr>
            <w:r>
              <w:rPr>
                <w:rFonts w:ascii="Arial" w:cs="Arial" w:eastAsia="Arial" w:hAnsi="Arial"/>
                <w:sz w:val="20"/>
                <w:szCs w:val="20"/>
                <w:color w:val="auto"/>
              </w:rPr>
              <w:t>2021</w:t>
            </w:r>
          </w:p>
        </w:tc>
        <w:tc>
          <w:tcPr>
            <w:tcW w:w="5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2020</w:t>
            </w:r>
          </w:p>
        </w:tc>
        <w:tc>
          <w:tcPr>
            <w:tcW w:w="100" w:type="dxa"/>
            <w:vAlign w:val="bottom"/>
          </w:tcPr>
          <w:p>
            <w:pPr>
              <w:spacing w:after="0"/>
              <w:rPr>
                <w:sz w:val="20"/>
                <w:szCs w:val="20"/>
                <w:color w:val="auto"/>
              </w:rPr>
            </w:pPr>
          </w:p>
        </w:tc>
      </w:tr>
      <w:tr>
        <w:trPr>
          <w:trHeight w:val="237"/>
        </w:trPr>
        <w:tc>
          <w:tcPr>
            <w:tcW w:w="6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0" w:type="dxa"/>
            <w:vAlign w:val="bottom"/>
            <w:gridSpan w:val="3"/>
          </w:tcPr>
          <w:p>
            <w:pPr>
              <w:jc w:val="right"/>
              <w:ind w:right="981"/>
              <w:spacing w:after="0"/>
              <w:rPr>
                <w:sz w:val="20"/>
                <w:szCs w:val="20"/>
                <w:color w:val="auto"/>
              </w:rPr>
            </w:pPr>
            <w:r>
              <w:rPr>
                <w:rFonts w:ascii="Arial" w:cs="Arial" w:eastAsia="Arial" w:hAnsi="Arial"/>
                <w:sz w:val="20"/>
                <w:szCs w:val="20"/>
                <w:i w:val="1"/>
                <w:iCs w:val="1"/>
                <w:color w:val="auto"/>
              </w:rPr>
              <w:t>(Dollars in Millions)</w:t>
            </w:r>
          </w:p>
        </w:tc>
        <w:tc>
          <w:tcPr>
            <w:tcW w:w="100" w:type="dxa"/>
            <w:vAlign w:val="bottom"/>
          </w:tcPr>
          <w:p>
            <w:pPr>
              <w:spacing w:after="0"/>
              <w:rPr>
                <w:sz w:val="20"/>
                <w:szCs w:val="20"/>
                <w:color w:val="auto"/>
              </w:rPr>
            </w:pPr>
          </w:p>
        </w:tc>
      </w:tr>
      <w:tr>
        <w:trPr>
          <w:trHeight w:val="243"/>
        </w:trPr>
        <w:tc>
          <w:tcPr>
            <w:tcW w:w="6420" w:type="dxa"/>
            <w:vAlign w:val="bottom"/>
            <w:shd w:val="clear" w:color="auto" w:fill="CFF0FC"/>
          </w:tcPr>
          <w:p>
            <w:pPr>
              <w:spacing w:after="0"/>
              <w:rPr>
                <w:sz w:val="20"/>
                <w:szCs w:val="20"/>
                <w:color w:val="auto"/>
              </w:rPr>
            </w:pPr>
            <w:r>
              <w:rPr>
                <w:rFonts w:ascii="Arial" w:cs="Arial" w:eastAsia="Arial" w:hAnsi="Arial"/>
                <w:sz w:val="20"/>
                <w:szCs w:val="20"/>
                <w:color w:val="auto"/>
              </w:rPr>
              <w:t>Noncash investing and financing activities:</w:t>
            </w:r>
          </w:p>
        </w:tc>
        <w:tc>
          <w:tcPr>
            <w:tcW w:w="9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6"/>
        </w:trPr>
        <w:tc>
          <w:tcPr>
            <w:tcW w:w="6420" w:type="dxa"/>
            <w:vAlign w:val="bottom"/>
          </w:tcPr>
          <w:p>
            <w:pPr>
              <w:ind w:left="260"/>
              <w:spacing w:after="0" w:line="227" w:lineRule="exact"/>
              <w:rPr>
                <w:sz w:val="20"/>
                <w:szCs w:val="20"/>
                <w:color w:val="auto"/>
              </w:rPr>
            </w:pPr>
            <w:r>
              <w:rPr>
                <w:rFonts w:ascii="Arial" w:cs="Arial" w:eastAsia="Arial" w:hAnsi="Arial"/>
                <w:sz w:val="20"/>
                <w:szCs w:val="20"/>
                <w:color w:val="auto"/>
              </w:rPr>
              <w:t>Right-of-use assets obtained in exchange for</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420" w:type="dxa"/>
            <w:vAlign w:val="bottom"/>
          </w:tcPr>
          <w:p>
            <w:pPr>
              <w:ind w:left="400"/>
              <w:spacing w:after="0"/>
              <w:rPr>
                <w:sz w:val="20"/>
                <w:szCs w:val="20"/>
                <w:color w:val="auto"/>
              </w:rPr>
            </w:pPr>
            <w:r>
              <w:rPr>
                <w:rFonts w:ascii="Arial" w:cs="Arial" w:eastAsia="Arial" w:hAnsi="Arial"/>
                <w:sz w:val="20"/>
                <w:szCs w:val="20"/>
                <w:color w:val="auto"/>
              </w:rPr>
              <w:t>new finance lease liabilities</w:t>
            </w:r>
          </w:p>
        </w:tc>
        <w:tc>
          <w:tcPr>
            <w:tcW w:w="132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115.1</w:t>
            </w:r>
          </w:p>
        </w:tc>
        <w:tc>
          <w:tcPr>
            <w:tcW w:w="58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43"/>
        </w:trPr>
        <w:tc>
          <w:tcPr>
            <w:tcW w:w="64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Accrued liabilities for purchases of property, plant and equipment</w:t>
            </w: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15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28.7</w:t>
            </w:r>
          </w:p>
        </w:tc>
        <w:tc>
          <w:tcPr>
            <w:tcW w:w="58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21.4</w:t>
            </w:r>
          </w:p>
        </w:tc>
        <w:tc>
          <w:tcPr>
            <w:tcW w:w="100" w:type="dxa"/>
            <w:vAlign w:val="bottom"/>
            <w:shd w:val="clear" w:color="auto" w:fill="CFF0FC"/>
          </w:tcPr>
          <w:p>
            <w:pPr>
              <w:spacing w:after="0"/>
              <w:rPr>
                <w:sz w:val="21"/>
                <w:szCs w:val="21"/>
                <w:color w:val="auto"/>
              </w:rPr>
            </w:pPr>
          </w:p>
        </w:tc>
      </w:tr>
      <w:tr>
        <w:trPr>
          <w:trHeight w:val="226"/>
        </w:trPr>
        <w:tc>
          <w:tcPr>
            <w:tcW w:w="6420" w:type="dxa"/>
            <w:vAlign w:val="bottom"/>
          </w:tcPr>
          <w:p>
            <w:pPr>
              <w:ind w:left="260"/>
              <w:spacing w:after="0" w:line="227" w:lineRule="exact"/>
              <w:rPr>
                <w:sz w:val="20"/>
                <w:szCs w:val="20"/>
                <w:color w:val="auto"/>
              </w:rPr>
            </w:pPr>
            <w:r>
              <w:rPr>
                <w:rFonts w:ascii="Arial" w:cs="Arial" w:eastAsia="Arial" w:hAnsi="Arial"/>
                <w:sz w:val="20"/>
                <w:szCs w:val="20"/>
                <w:color w:val="auto"/>
              </w:rPr>
              <w:t>Right-of-use assets obtained in exchange for new</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420" w:type="dxa"/>
            <w:vAlign w:val="bottom"/>
          </w:tcPr>
          <w:p>
            <w:pPr>
              <w:ind w:left="400"/>
              <w:spacing w:after="0"/>
              <w:rPr>
                <w:sz w:val="20"/>
                <w:szCs w:val="20"/>
                <w:color w:val="auto"/>
              </w:rPr>
            </w:pPr>
            <w:r>
              <w:rPr>
                <w:rFonts w:ascii="Arial" w:cs="Arial" w:eastAsia="Arial" w:hAnsi="Arial"/>
                <w:sz w:val="20"/>
                <w:szCs w:val="20"/>
                <w:color w:val="auto"/>
              </w:rPr>
              <w:t>operating lease liabilities</w:t>
            </w:r>
          </w:p>
        </w:tc>
        <w:tc>
          <w:tcPr>
            <w:tcW w:w="132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520" w:type="dxa"/>
            <w:vAlign w:val="bottom"/>
          </w:tcPr>
          <w:p>
            <w:pPr>
              <w:jc w:val="right"/>
              <w:ind w:right="81"/>
              <w:spacing w:after="0"/>
              <w:rPr>
                <w:sz w:val="20"/>
                <w:szCs w:val="20"/>
                <w:color w:val="auto"/>
              </w:rPr>
            </w:pPr>
            <w:r>
              <w:rPr>
                <w:rFonts w:ascii="Arial" w:cs="Arial" w:eastAsia="Arial" w:hAnsi="Arial"/>
                <w:sz w:val="20"/>
                <w:szCs w:val="20"/>
                <w:color w:val="auto"/>
              </w:rPr>
              <w:t>6.0</w:t>
            </w:r>
          </w:p>
        </w:tc>
        <w:tc>
          <w:tcPr>
            <w:tcW w:w="58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12.7</w:t>
            </w:r>
          </w:p>
        </w:tc>
        <w:tc>
          <w:tcPr>
            <w:tcW w:w="100" w:type="dxa"/>
            <w:vAlign w:val="bottom"/>
          </w:tcPr>
          <w:p>
            <w:pPr>
              <w:spacing w:after="0"/>
              <w:rPr>
                <w:sz w:val="21"/>
                <w:szCs w:val="21"/>
                <w:color w:val="auto"/>
              </w:rPr>
            </w:pPr>
          </w:p>
        </w:tc>
      </w:tr>
      <w:tr>
        <w:trPr>
          <w:trHeight w:val="243"/>
        </w:trPr>
        <w:tc>
          <w:tcPr>
            <w:tcW w:w="64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Accrued proceeds from company-owned life insurance benefits</w:t>
            </w: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15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8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0.8</w:t>
            </w:r>
          </w:p>
        </w:tc>
        <w:tc>
          <w:tcPr>
            <w:tcW w:w="100" w:type="dxa"/>
            <w:vAlign w:val="bottom"/>
            <w:shd w:val="clear" w:color="auto" w:fill="CFF0FC"/>
          </w:tcPr>
          <w:p>
            <w:pPr>
              <w:spacing w:after="0"/>
              <w:rPr>
                <w:sz w:val="21"/>
                <w:szCs w:val="21"/>
                <w:color w:val="auto"/>
              </w:rPr>
            </w:pPr>
          </w:p>
        </w:tc>
      </w:tr>
      <w:tr>
        <w:trPr>
          <w:trHeight w:val="250"/>
        </w:trPr>
        <w:tc>
          <w:tcPr>
            <w:tcW w:w="6420" w:type="dxa"/>
            <w:vAlign w:val="bottom"/>
          </w:tcPr>
          <w:p>
            <w:pPr>
              <w:ind w:left="260"/>
              <w:spacing w:after="0"/>
              <w:rPr>
                <w:sz w:val="20"/>
                <w:szCs w:val="20"/>
                <w:color w:val="auto"/>
              </w:rPr>
            </w:pPr>
            <w:r>
              <w:rPr>
                <w:rFonts w:ascii="Arial" w:cs="Arial" w:eastAsia="Arial" w:hAnsi="Arial"/>
                <w:sz w:val="20"/>
                <w:szCs w:val="20"/>
                <w:color w:val="auto"/>
              </w:rPr>
              <w:t>Remeasurement of operating lease right-of-use assets</w:t>
            </w:r>
          </w:p>
        </w:tc>
        <w:tc>
          <w:tcPr>
            <w:tcW w:w="132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(6.2)</w:t>
            </w:r>
          </w:p>
        </w:tc>
        <w:tc>
          <w:tcPr>
            <w:tcW w:w="58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bl>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the three months ended March 31, 2021, the right-of-use assets obtained in exchange for new finance lease liabilities balance primarily consisted of the lease for the new corporate headquarters.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220" w:type="dxa"/>
            <w:vAlign w:val="bottom"/>
          </w:tcPr>
          <w:p>
            <w:pPr>
              <w:ind w:left="380"/>
              <w:spacing w:after="0"/>
              <w:rPr>
                <w:sz w:val="20"/>
                <w:szCs w:val="20"/>
                <w:color w:val="auto"/>
              </w:rPr>
            </w:pPr>
            <w:r>
              <w:rPr>
                <w:rFonts w:ascii="Arial" w:cs="Arial" w:eastAsia="Arial" w:hAnsi="Arial"/>
                <w:sz w:val="20"/>
                <w:szCs w:val="20"/>
                <w:color w:val="auto"/>
              </w:rPr>
              <w:t>Supplemental disclosures of cash flow information are as follows:</w:t>
            </w: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7"/>
        </w:trPr>
        <w:tc>
          <w:tcPr>
            <w:tcW w:w="72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321"/>
              <w:spacing w:after="0"/>
              <w:rPr>
                <w:sz w:val="20"/>
                <w:szCs w:val="20"/>
                <w:color w:val="auto"/>
              </w:rPr>
            </w:pPr>
            <w:r>
              <w:rPr>
                <w:rFonts w:ascii="Arial" w:cs="Arial" w:eastAsia="Arial" w:hAnsi="Arial"/>
                <w:sz w:val="20"/>
                <w:szCs w:val="20"/>
                <w:color w:val="auto"/>
              </w:rPr>
              <w:t>March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72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8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w w:val="89"/>
              </w:rPr>
              <w:t>2020</w:t>
            </w:r>
          </w:p>
        </w:tc>
        <w:tc>
          <w:tcPr>
            <w:tcW w:w="100" w:type="dxa"/>
            <w:vAlign w:val="bottom"/>
          </w:tcPr>
          <w:p>
            <w:pPr>
              <w:spacing w:after="0"/>
              <w:rPr>
                <w:sz w:val="20"/>
                <w:szCs w:val="20"/>
                <w:color w:val="auto"/>
              </w:rPr>
            </w:pPr>
          </w:p>
        </w:tc>
      </w:tr>
      <w:tr>
        <w:trPr>
          <w:trHeight w:val="237"/>
        </w:trPr>
        <w:tc>
          <w:tcPr>
            <w:tcW w:w="7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20"/>
                <w:szCs w:val="20"/>
                <w:i w:val="1"/>
                <w:iCs w:val="1"/>
                <w:color w:val="auto"/>
                <w:w w:val="99"/>
              </w:rPr>
              <w:t>(Dollars in Millions)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220" w:type="dxa"/>
            <w:vAlign w:val="bottom"/>
            <w:shd w:val="clear" w:color="auto" w:fill="CFF0FC"/>
          </w:tcPr>
          <w:p>
            <w:pPr>
              <w:spacing w:after="0"/>
              <w:rPr>
                <w:sz w:val="20"/>
                <w:szCs w:val="20"/>
                <w:color w:val="auto"/>
              </w:rPr>
            </w:pPr>
            <w:r>
              <w:rPr>
                <w:rFonts w:ascii="Arial" w:cs="Arial" w:eastAsia="Arial" w:hAnsi="Arial"/>
                <w:sz w:val="20"/>
                <w:szCs w:val="20"/>
                <w:color w:val="auto"/>
              </w:rPr>
              <w:t>Cash paid for interest, net of capitalized amount</w:t>
            </w:r>
          </w:p>
        </w:tc>
        <w:tc>
          <w:tcPr>
            <w:tcW w:w="1080" w:type="dxa"/>
            <w:vAlign w:val="bottom"/>
            <w:shd w:val="clear" w:color="auto" w:fill="CFF0FC"/>
          </w:tcPr>
          <w:p>
            <w:pPr>
              <w:jc w:val="right"/>
              <w:ind w:right="881"/>
              <w:spacing w:after="0"/>
              <w:rPr>
                <w:sz w:val="20"/>
                <w:szCs w:val="20"/>
                <w:color w:val="auto"/>
              </w:rPr>
            </w:pPr>
            <w:r>
              <w:rPr>
                <w:rFonts w:ascii="Arial" w:cs="Arial" w:eastAsia="Arial" w:hAnsi="Arial"/>
                <w:sz w:val="20"/>
                <w:szCs w:val="20"/>
                <w:color w:val="auto"/>
                <w:w w:val="71"/>
              </w:rPr>
              <w:t>$</w:t>
            </w:r>
          </w:p>
        </w:tc>
        <w:tc>
          <w:tcPr>
            <w:tcW w:w="8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14.8</w:t>
            </w:r>
          </w:p>
        </w:tc>
        <w:tc>
          <w:tcPr>
            <w:tcW w:w="880" w:type="dxa"/>
            <w:vAlign w:val="bottom"/>
            <w:shd w:val="clear" w:color="auto" w:fill="CFF0FC"/>
          </w:tcPr>
          <w:p>
            <w:pPr>
              <w:jc w:val="right"/>
              <w:ind w:right="48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11.9</w:t>
            </w:r>
          </w:p>
        </w:tc>
        <w:tc>
          <w:tcPr>
            <w:tcW w:w="100" w:type="dxa"/>
            <w:vAlign w:val="bottom"/>
            <w:shd w:val="clear" w:color="auto" w:fill="CFF0FC"/>
          </w:tcPr>
          <w:p>
            <w:pPr>
              <w:spacing w:after="0"/>
              <w:rPr>
                <w:sz w:val="21"/>
                <w:szCs w:val="21"/>
                <w:color w:val="auto"/>
              </w:rPr>
            </w:pPr>
          </w:p>
        </w:tc>
      </w:tr>
      <w:tr>
        <w:trPr>
          <w:trHeight w:val="250"/>
        </w:trPr>
        <w:tc>
          <w:tcPr>
            <w:tcW w:w="7220" w:type="dxa"/>
            <w:vAlign w:val="bottom"/>
          </w:tcPr>
          <w:p>
            <w:pPr>
              <w:spacing w:after="0"/>
              <w:rPr>
                <w:sz w:val="20"/>
                <w:szCs w:val="20"/>
                <w:color w:val="auto"/>
              </w:rPr>
            </w:pPr>
            <w:r>
              <w:rPr>
                <w:rFonts w:ascii="Arial" w:cs="Arial" w:eastAsia="Arial" w:hAnsi="Arial"/>
                <w:sz w:val="20"/>
                <w:szCs w:val="20"/>
                <w:color w:val="auto"/>
              </w:rPr>
              <w:t>Cash paid for income taxes, net of refunds</w:t>
            </w:r>
          </w:p>
        </w:tc>
        <w:tc>
          <w:tcPr>
            <w:tcW w:w="1080" w:type="dxa"/>
            <w:vAlign w:val="bottom"/>
          </w:tcPr>
          <w:p>
            <w:pPr>
              <w:jc w:val="right"/>
              <w:ind w:right="881"/>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48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1.4</w:t>
            </w:r>
          </w:p>
        </w:tc>
        <w:tc>
          <w:tcPr>
            <w:tcW w:w="100" w:type="dxa"/>
            <w:vAlign w:val="bottom"/>
          </w:tcPr>
          <w:p>
            <w:pPr>
              <w:spacing w:after="0"/>
              <w:rPr>
                <w:sz w:val="21"/>
                <w:szCs w:val="21"/>
                <w:color w:val="auto"/>
              </w:rPr>
            </w:pPr>
          </w:p>
        </w:tc>
      </w:tr>
    </w:tbl>
    <w:p>
      <w:pPr>
        <w:spacing w:after="0" w:line="84" w:lineRule="exact"/>
        <w:rPr>
          <w:sz w:val="20"/>
          <w:szCs w:val="20"/>
          <w:color w:val="auto"/>
        </w:rPr>
      </w:pPr>
    </w:p>
    <w:p>
      <w:pPr>
        <w:jc w:val="both"/>
        <w:ind w:left="380"/>
        <w:spacing w:after="0" w:line="269" w:lineRule="auto"/>
        <w:rPr>
          <w:sz w:val="20"/>
          <w:szCs w:val="20"/>
          <w:color w:val="auto"/>
        </w:rPr>
      </w:pPr>
      <w:r>
        <w:rPr>
          <w:rFonts w:ascii="Arial" w:cs="Arial" w:eastAsia="Arial" w:hAnsi="Arial"/>
          <w:sz w:val="19"/>
          <w:szCs w:val="19"/>
          <w:color w:val="auto"/>
        </w:rPr>
        <w:t xml:space="preserve">During the quarter ended March 31, 2021 and 2020, the Company received proceeds of $9.8 million and repaid $7.2 million of loans, respectively, related to its company-owned life insurance policies. The proceeds and repayment, as applicable, are included in the </w:t>
      </w:r>
      <w:r>
        <w:rPr>
          <w:rFonts w:ascii="Arial" w:cs="Arial" w:eastAsia="Arial" w:hAnsi="Arial"/>
          <w:sz w:val="19"/>
          <w:szCs w:val="19"/>
          <w:i w:val="1"/>
          <w:iCs w:val="1"/>
          <w:color w:val="auto"/>
        </w:rPr>
        <w:t>Investments in life insurance contracts, net</w:t>
      </w:r>
      <w:r>
        <w:rPr>
          <w:rFonts w:ascii="Arial" w:cs="Arial" w:eastAsia="Arial" w:hAnsi="Arial"/>
          <w:sz w:val="19"/>
          <w:szCs w:val="19"/>
          <w:color w:val="auto"/>
        </w:rPr>
        <w:t>, in the investing activities of the consolidated statements of cash flows.</w:t>
      </w:r>
    </w:p>
    <w:p>
      <w:pPr>
        <w:spacing w:after="0" w:line="204" w:lineRule="exact"/>
        <w:rPr>
          <w:sz w:val="20"/>
          <w:szCs w:val="20"/>
          <w:color w:val="auto"/>
        </w:rPr>
      </w:pPr>
    </w:p>
    <w:p>
      <w:pPr>
        <w:ind w:left="380" w:hanging="372"/>
        <w:spacing w:after="0"/>
        <w:tabs>
          <w:tab w:leader="none" w:pos="38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Other Operating (Income) and Expenses, Net</w:t>
      </w:r>
    </w:p>
    <w:p>
      <w:pPr>
        <w:spacing w:after="0" w:line="86" w:lineRule="exact"/>
        <w:rPr>
          <w:rFonts w:ascii="Arial" w:cs="Arial" w:eastAsia="Arial" w:hAnsi="Arial"/>
          <w:sz w:val="20"/>
          <w:szCs w:val="20"/>
          <w:b w:val="1"/>
          <w:bCs w:val="1"/>
          <w:color w:val="auto"/>
        </w:rPr>
      </w:pPr>
    </w:p>
    <w:p>
      <w:pPr>
        <w:ind w:left="38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Other operating (income) and expenses, net, for the three months ended March 31, 2021 reflected lower credit losses and higher gains on sales of assets compared with the prior year period.</w:t>
      </w:r>
    </w:p>
    <w:p>
      <w:pPr>
        <w:spacing w:after="0" w:line="197" w:lineRule="exact"/>
        <w:rPr>
          <w:rFonts w:ascii="Arial" w:cs="Arial" w:eastAsia="Arial" w:hAnsi="Arial"/>
          <w:sz w:val="20"/>
          <w:szCs w:val="20"/>
          <w:b w:val="1"/>
          <w:bCs w:val="1"/>
          <w:color w:val="auto"/>
        </w:rPr>
      </w:pPr>
    </w:p>
    <w:p>
      <w:pPr>
        <w:ind w:left="380" w:hanging="372"/>
        <w:spacing w:after="0"/>
        <w:tabs>
          <w:tab w:leader="none" w:pos="38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Other Nonoperating (Income) and Expenses, Net</w:t>
      </w:r>
    </w:p>
    <w:p>
      <w:pPr>
        <w:spacing w:after="0" w:line="86"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For the three months ended March 31, 2021, other nonoperating (income) and expenses, net, included a $3.3 million reduction in pension expense compared with the prior-year period. For the three months ended March 31, 2020, other nonoperating (income) and expenses, net, included $5.6 million of third-party railroad track maintenance expense.</w:t>
      </w:r>
    </w:p>
    <w:p>
      <w:pPr>
        <w:spacing w:after="0" w:line="220" w:lineRule="exact"/>
        <w:rPr>
          <w:rFonts w:ascii="Arial" w:cs="Arial" w:eastAsia="Arial" w:hAnsi="Arial"/>
          <w:sz w:val="20"/>
          <w:szCs w:val="20"/>
          <w:b w:val="1"/>
          <w:bCs w:val="1"/>
          <w:color w:val="auto"/>
        </w:rPr>
      </w:pPr>
    </w:p>
    <w:p>
      <w:pPr>
        <w:ind w:left="380" w:hanging="372"/>
        <w:spacing w:after="0"/>
        <w:tabs>
          <w:tab w:leader="none" w:pos="38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Subsequent Events</w:t>
      </w:r>
    </w:p>
    <w:p>
      <w:pPr>
        <w:spacing w:after="0" w:line="73" w:lineRule="exact"/>
        <w:rPr>
          <w:rFonts w:ascii="Arial" w:cs="Arial" w:eastAsia="Arial" w:hAnsi="Arial"/>
          <w:sz w:val="20"/>
          <w:szCs w:val="20"/>
          <w:b w:val="1"/>
          <w:bCs w:val="1"/>
          <w:color w:val="auto"/>
        </w:rPr>
      </w:pPr>
    </w:p>
    <w:p>
      <w:pPr>
        <w:jc w:val="both"/>
        <w:ind w:left="38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On April 30, 2021, the Company completed the acquisition of Tiller Corporation (Tiller), a leading aggregates and hot mix asphalt supplier in the Minneapolis/St. Paul region, one of the largest and fastest growing midwestern metropolitan areas and complements the Company’s existing product offerings in the surrounding areas. Additionally, Tiller sells asphalt FOB, or free on board, origin, serving solely as a materials provider, and does not offer paving or other associated services. The Company financed the acquisition using available cash and borrowings under its credit facilities.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FORM 10-Q</w:t>
      </w:r>
    </w:p>
    <w:p>
      <w:pPr>
        <w:jc w:val="center"/>
        <w:ind w:right="60"/>
        <w:spacing w:after="0"/>
        <w:rPr>
          <w:sz w:val="20"/>
          <w:szCs w:val="20"/>
          <w:color w:val="auto"/>
        </w:rPr>
      </w:pPr>
      <w:r>
        <w:rPr>
          <w:rFonts w:ascii="Arial" w:cs="Arial" w:eastAsia="Arial" w:hAnsi="Arial"/>
          <w:sz w:val="20"/>
          <w:szCs w:val="20"/>
          <w:color w:val="auto"/>
        </w:rPr>
        <w:t>For the Quarter Ended March 31, 2021</w:t>
      </w:r>
    </w:p>
    <w:p>
      <w:pPr>
        <w:spacing w:after="0" w:line="15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RESULTS OF OPERATIONS</w:t>
      </w:r>
    </w:p>
    <w:p>
      <w:pPr>
        <w:jc w:val="center"/>
        <w:ind w:right="60"/>
        <w:spacing w:after="0"/>
        <w:rPr>
          <w:sz w:val="20"/>
          <w:szCs w:val="20"/>
          <w:color w:val="auto"/>
        </w:rPr>
      </w:pPr>
      <w:r>
        <w:rPr>
          <w:rFonts w:ascii="Arial" w:cs="Arial" w:eastAsia="Arial" w:hAnsi="Arial"/>
          <w:sz w:val="20"/>
          <w:szCs w:val="20"/>
          <w:color w:val="auto"/>
        </w:rPr>
        <w:t>First Quarter Ended March 31, 2021</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08" w:lineRule="exact"/>
        <w:rPr>
          <w:sz w:val="20"/>
          <w:szCs w:val="20"/>
          <w:color w:val="auto"/>
        </w:rPr>
      </w:pPr>
    </w:p>
    <w:p>
      <w:pPr>
        <w:jc w:val="both"/>
        <w:ind w:right="60"/>
        <w:spacing w:after="0" w:line="274" w:lineRule="auto"/>
        <w:rPr>
          <w:sz w:val="20"/>
          <w:szCs w:val="20"/>
          <w:color w:val="auto"/>
        </w:rPr>
      </w:pPr>
      <w:r>
        <w:rPr>
          <w:rFonts w:ascii="Arial" w:cs="Arial" w:eastAsia="Arial" w:hAnsi="Arial"/>
          <w:sz w:val="18"/>
          <w:szCs w:val="18"/>
          <w:color w:val="auto"/>
        </w:rPr>
        <w:t>Martin Marietta Materials, Inc. (the Company or Martin Marietta) is a natural resource-based building materials company. The Company supplies aggregates (crushed stone, sand and gravel) through its network of 290 quarries, mines and distribution yards in 26 states, Canada and The Bahamas. In the southwestern and western United States, Martin Marietta also provides cement and downstream products and services, namely, ready mixed concrete, asphalt and paving,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60" w:lineRule="exact"/>
        <w:rPr>
          <w:sz w:val="20"/>
          <w:szCs w:val="20"/>
          <w:color w:val="auto"/>
        </w:rPr>
      </w:pPr>
    </w:p>
    <w:p>
      <w:pPr>
        <w:jc w:val="center"/>
        <w:ind w:right="2120"/>
        <w:spacing w:after="0" w:line="308" w:lineRule="auto"/>
        <w:rPr>
          <w:sz w:val="20"/>
          <w:szCs w:val="20"/>
          <w:color w:val="auto"/>
        </w:rPr>
      </w:pPr>
      <w:r>
        <w:rPr>
          <w:rFonts w:ascii="Arial" w:cs="Arial" w:eastAsia="Arial" w:hAnsi="Arial"/>
          <w:sz w:val="20"/>
          <w:szCs w:val="20"/>
          <w:color w:val="auto"/>
        </w:rPr>
        <w:t xml:space="preserve">The Company’s Building Materials business includes two reportable segments: the East Group and the West Group. </w:t>
      </w:r>
      <w:r>
        <w:rPr>
          <w:rFonts w:ascii="Arial" w:cs="Arial" w:eastAsia="Arial" w:hAnsi="Arial"/>
          <w:sz w:val="20"/>
          <w:szCs w:val="20"/>
          <w:b w:val="1"/>
          <w:bCs w:val="1"/>
          <w:color w:val="auto"/>
        </w:rPr>
        <w:t>BUILDING MATERIALS BUSINESS</w:t>
      </w:r>
    </w:p>
    <w:tbl>
      <w:tblPr>
        <w:tblLayout w:type="fixed"/>
        <w:tblInd w:w="0" w:type="dxa"/>
        <w:tblCellMar>
          <w:top w:w="0" w:type="dxa"/>
          <w:left w:w="0" w:type="dxa"/>
          <w:bottom w:w="0" w:type="dxa"/>
          <w:right w:w="0" w:type="dxa"/>
        </w:tblCellMar>
      </w:tblPr>
      <w:tr>
        <w:trPr>
          <w:trHeight w:val="217"/>
        </w:trPr>
        <w:tc>
          <w:tcPr>
            <w:tcW w:w="2260" w:type="dxa"/>
            <w:vAlign w:val="bottom"/>
            <w:tcBorders>
              <w:top w:val="single" w:sz="8" w:color="auto"/>
            </w:tcBorders>
            <w:gridSpan w:val="2"/>
          </w:tcPr>
          <w:p>
            <w:pPr>
              <w:jc w:val="center"/>
              <w:ind w:right="100"/>
              <w:spacing w:after="0" w:line="216" w:lineRule="exact"/>
              <w:rPr>
                <w:sz w:val="20"/>
                <w:szCs w:val="20"/>
                <w:color w:val="auto"/>
              </w:rPr>
            </w:pPr>
            <w:r>
              <w:rPr>
                <w:rFonts w:ascii="Arial" w:cs="Arial" w:eastAsia="Arial" w:hAnsi="Arial"/>
                <w:sz w:val="20"/>
                <w:szCs w:val="20"/>
                <w:color w:val="auto"/>
                <w:w w:val="86"/>
              </w:rPr>
              <w:t>Reportable Segments</w:t>
            </w:r>
          </w:p>
        </w:tc>
        <w:tc>
          <w:tcPr>
            <w:tcW w:w="4600" w:type="dxa"/>
            <w:vAlign w:val="bottom"/>
            <w:tcBorders>
              <w:top w:val="single" w:sz="8" w:color="auto"/>
            </w:tcBorders>
            <w:gridSpan w:val="2"/>
          </w:tcPr>
          <w:p>
            <w:pPr>
              <w:jc w:val="center"/>
              <w:ind w:right="100"/>
              <w:spacing w:after="0" w:line="216" w:lineRule="exact"/>
              <w:rPr>
                <w:sz w:val="20"/>
                <w:szCs w:val="20"/>
                <w:color w:val="auto"/>
              </w:rPr>
            </w:pPr>
            <w:r>
              <w:rPr>
                <w:rFonts w:ascii="Arial" w:cs="Arial" w:eastAsia="Arial" w:hAnsi="Arial"/>
                <w:sz w:val="20"/>
                <w:szCs w:val="20"/>
                <w:color w:val="auto"/>
                <w:w w:val="88"/>
              </w:rPr>
              <w:t>East Group</w:t>
            </w:r>
          </w:p>
        </w:tc>
        <w:tc>
          <w:tcPr>
            <w:tcW w:w="444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0"/>
                <w:szCs w:val="20"/>
                <w:color w:val="auto"/>
                <w:w w:val="89"/>
              </w:rPr>
              <w:t>West Group</w:t>
            </w:r>
          </w:p>
        </w:tc>
      </w:tr>
      <w:tr>
        <w:trPr>
          <w:trHeight w:val="206"/>
        </w:trPr>
        <w:tc>
          <w:tcPr>
            <w:tcW w:w="21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Operating Locations</w:t>
            </w:r>
          </w:p>
        </w:tc>
        <w:tc>
          <w:tcPr>
            <w:tcW w:w="100" w:type="dxa"/>
            <w:vAlign w:val="bottom"/>
          </w:tcPr>
          <w:p>
            <w:pPr>
              <w:spacing w:after="0"/>
              <w:rPr>
                <w:sz w:val="17"/>
                <w:szCs w:val="17"/>
                <w:color w:val="auto"/>
              </w:rPr>
            </w:pPr>
          </w:p>
        </w:tc>
        <w:tc>
          <w:tcPr>
            <w:tcW w:w="44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Alabama, Florida, Georgia, Indiana, Iowa,</w:t>
            </w:r>
          </w:p>
        </w:tc>
        <w:tc>
          <w:tcPr>
            <w:tcW w:w="120" w:type="dxa"/>
            <w:vAlign w:val="bottom"/>
          </w:tcPr>
          <w:p>
            <w:pPr>
              <w:spacing w:after="0"/>
              <w:rPr>
                <w:sz w:val="17"/>
                <w:szCs w:val="17"/>
                <w:color w:val="auto"/>
              </w:rPr>
            </w:pPr>
          </w:p>
        </w:tc>
        <w:tc>
          <w:tcPr>
            <w:tcW w:w="444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Arkansas, Colorado, Louisiana, western</w:t>
            </w:r>
          </w:p>
        </w:tc>
      </w:tr>
      <w:tr>
        <w:trPr>
          <w:trHeight w:val="230"/>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20"/>
                <w:szCs w:val="20"/>
                <w:color w:val="auto"/>
                <w:w w:val="90"/>
              </w:rPr>
              <w:t>Kansas, Kentucky, Maryland,</w:t>
            </w:r>
          </w:p>
        </w:tc>
        <w:tc>
          <w:tcPr>
            <w:tcW w:w="4440" w:type="dxa"/>
            <w:vAlign w:val="bottom"/>
          </w:tcPr>
          <w:p>
            <w:pPr>
              <w:jc w:val="center"/>
              <w:spacing w:after="0"/>
              <w:rPr>
                <w:sz w:val="20"/>
                <w:szCs w:val="20"/>
                <w:color w:val="auto"/>
              </w:rPr>
            </w:pPr>
            <w:r>
              <w:rPr>
                <w:rFonts w:ascii="Arial" w:cs="Arial" w:eastAsia="Arial" w:hAnsi="Arial"/>
                <w:sz w:val="20"/>
                <w:szCs w:val="20"/>
                <w:color w:val="auto"/>
                <w:w w:val="88"/>
              </w:rPr>
              <w:t>Nebraska, Oklahoma, Texas, Utah,</w:t>
            </w:r>
          </w:p>
        </w:tc>
      </w:tr>
      <w:tr>
        <w:trPr>
          <w:trHeight w:val="229"/>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ind w:left="640"/>
              <w:spacing w:after="0"/>
              <w:rPr>
                <w:sz w:val="20"/>
                <w:szCs w:val="20"/>
                <w:color w:val="auto"/>
              </w:rPr>
            </w:pPr>
            <w:r>
              <w:rPr>
                <w:rFonts w:ascii="Arial" w:cs="Arial" w:eastAsia="Arial" w:hAnsi="Arial"/>
                <w:sz w:val="20"/>
                <w:szCs w:val="20"/>
                <w:color w:val="auto"/>
              </w:rPr>
              <w:t>Minnesota, Missouri, eastern Nebraska,</w:t>
            </w:r>
          </w:p>
        </w:tc>
        <w:tc>
          <w:tcPr>
            <w:tcW w:w="4440" w:type="dxa"/>
            <w:vAlign w:val="bottom"/>
          </w:tcPr>
          <w:p>
            <w:pPr>
              <w:jc w:val="center"/>
              <w:spacing w:after="0"/>
              <w:rPr>
                <w:sz w:val="20"/>
                <w:szCs w:val="20"/>
                <w:color w:val="auto"/>
              </w:rPr>
            </w:pPr>
            <w:r>
              <w:rPr>
                <w:rFonts w:ascii="Arial" w:cs="Arial" w:eastAsia="Arial" w:hAnsi="Arial"/>
                <w:sz w:val="20"/>
                <w:szCs w:val="20"/>
                <w:color w:val="auto"/>
                <w:w w:val="90"/>
              </w:rPr>
              <w:t>Washington and Wyoming</w:t>
            </w:r>
          </w:p>
        </w:tc>
      </w:tr>
      <w:tr>
        <w:trPr>
          <w:trHeight w:val="229"/>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North Carolina, Ohio, Pennsylvania,</w:t>
            </w:r>
          </w:p>
        </w:tc>
        <w:tc>
          <w:tcPr>
            <w:tcW w:w="4440" w:type="dxa"/>
            <w:vAlign w:val="bottom"/>
          </w:tcPr>
          <w:p>
            <w:pPr>
              <w:spacing w:after="0"/>
              <w:rPr>
                <w:sz w:val="19"/>
                <w:szCs w:val="19"/>
                <w:color w:val="auto"/>
              </w:rPr>
            </w:pPr>
          </w:p>
        </w:tc>
      </w:tr>
      <w:tr>
        <w:trPr>
          <w:trHeight w:val="230"/>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South Carolina, Tennessee, Virginia,</w:t>
            </w:r>
          </w:p>
        </w:tc>
        <w:tc>
          <w:tcPr>
            <w:tcW w:w="4440" w:type="dxa"/>
            <w:vAlign w:val="bottom"/>
          </w:tcPr>
          <w:p>
            <w:pPr>
              <w:spacing w:after="0"/>
              <w:rPr>
                <w:sz w:val="19"/>
                <w:szCs w:val="19"/>
                <w:color w:val="auto"/>
              </w:rPr>
            </w:pPr>
          </w:p>
        </w:tc>
      </w:tr>
      <w:tr>
        <w:trPr>
          <w:trHeight w:val="250"/>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West Virginia, Nova Scotia and The Bahamas</w:t>
            </w:r>
          </w:p>
        </w:tc>
        <w:tc>
          <w:tcPr>
            <w:tcW w:w="4440" w:type="dxa"/>
            <w:vAlign w:val="bottom"/>
          </w:tcPr>
          <w:p>
            <w:pPr>
              <w:spacing w:after="0"/>
              <w:rPr>
                <w:sz w:val="21"/>
                <w:szCs w:val="21"/>
                <w:color w:val="auto"/>
              </w:rPr>
            </w:pPr>
          </w:p>
        </w:tc>
      </w:tr>
      <w:tr>
        <w:trPr>
          <w:trHeight w:val="357"/>
        </w:trPr>
        <w:tc>
          <w:tcPr>
            <w:tcW w:w="226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Product Lines</w:t>
            </w:r>
          </w:p>
        </w:tc>
        <w:tc>
          <w:tcPr>
            <w:tcW w:w="460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Aggregates</w:t>
            </w:r>
          </w:p>
        </w:tc>
        <w:tc>
          <w:tcPr>
            <w:tcW w:w="4440" w:type="dxa"/>
            <w:vAlign w:val="bottom"/>
          </w:tcPr>
          <w:p>
            <w:pPr>
              <w:jc w:val="center"/>
              <w:spacing w:after="0"/>
              <w:rPr>
                <w:sz w:val="20"/>
                <w:szCs w:val="20"/>
                <w:color w:val="auto"/>
              </w:rPr>
            </w:pPr>
            <w:r>
              <w:rPr>
                <w:rFonts w:ascii="Arial" w:cs="Arial" w:eastAsia="Arial" w:hAnsi="Arial"/>
                <w:sz w:val="20"/>
                <w:szCs w:val="20"/>
                <w:color w:val="auto"/>
                <w:w w:val="87"/>
              </w:rPr>
              <w:t>Aggregates, Cement, Ready</w:t>
            </w:r>
          </w:p>
        </w:tc>
      </w:tr>
      <w:tr>
        <w:trPr>
          <w:trHeight w:val="230"/>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20"/>
                <w:szCs w:val="20"/>
                <w:color w:val="auto"/>
                <w:w w:val="90"/>
              </w:rPr>
              <w:t>Mixed Concrete, Asphalt and</w:t>
            </w:r>
          </w:p>
        </w:tc>
      </w:tr>
      <w:tr>
        <w:trPr>
          <w:trHeight w:val="250"/>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Arial" w:cs="Arial" w:eastAsia="Arial" w:hAnsi="Arial"/>
                <w:sz w:val="20"/>
                <w:szCs w:val="20"/>
                <w:color w:val="auto"/>
                <w:w w:val="91"/>
              </w:rPr>
              <w:t>Paving</w:t>
            </w:r>
          </w:p>
        </w:tc>
      </w:tr>
      <w:tr>
        <w:trPr>
          <w:trHeight w:val="357"/>
        </w:trPr>
        <w:tc>
          <w:tcPr>
            <w:tcW w:w="226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Plant Types</w:t>
            </w:r>
          </w:p>
        </w:tc>
        <w:tc>
          <w:tcPr>
            <w:tcW w:w="4600" w:type="dxa"/>
            <w:vAlign w:val="bottom"/>
            <w:gridSpan w:val="2"/>
          </w:tcPr>
          <w:p>
            <w:pPr>
              <w:jc w:val="center"/>
              <w:ind w:right="120"/>
              <w:spacing w:after="0"/>
              <w:rPr>
                <w:sz w:val="20"/>
                <w:szCs w:val="20"/>
                <w:color w:val="auto"/>
              </w:rPr>
            </w:pPr>
            <w:r>
              <w:rPr>
                <w:rFonts w:ascii="Arial" w:cs="Arial" w:eastAsia="Arial" w:hAnsi="Arial"/>
                <w:sz w:val="20"/>
                <w:szCs w:val="20"/>
                <w:color w:val="auto"/>
                <w:w w:val="92"/>
              </w:rPr>
              <w:t>Quarries, Mines and Distribution Facilities</w:t>
            </w:r>
          </w:p>
        </w:tc>
        <w:tc>
          <w:tcPr>
            <w:tcW w:w="4440" w:type="dxa"/>
            <w:vAlign w:val="bottom"/>
          </w:tcPr>
          <w:p>
            <w:pPr>
              <w:jc w:val="center"/>
              <w:spacing w:after="0"/>
              <w:rPr>
                <w:sz w:val="20"/>
                <w:szCs w:val="20"/>
                <w:color w:val="auto"/>
              </w:rPr>
            </w:pPr>
            <w:r>
              <w:rPr>
                <w:rFonts w:ascii="Arial" w:cs="Arial" w:eastAsia="Arial" w:hAnsi="Arial"/>
                <w:sz w:val="20"/>
                <w:szCs w:val="20"/>
                <w:color w:val="auto"/>
                <w:w w:val="89"/>
              </w:rPr>
              <w:t>Quarries, Mines, Plants and</w:t>
            </w:r>
          </w:p>
        </w:tc>
      </w:tr>
      <w:tr>
        <w:trPr>
          <w:trHeight w:val="250"/>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Arial" w:cs="Arial" w:eastAsia="Arial" w:hAnsi="Arial"/>
                <w:sz w:val="20"/>
                <w:szCs w:val="20"/>
                <w:color w:val="auto"/>
                <w:w w:val="93"/>
              </w:rPr>
              <w:t>Distribution Facilities</w:t>
            </w:r>
          </w:p>
        </w:tc>
      </w:tr>
      <w:tr>
        <w:trPr>
          <w:trHeight w:val="391"/>
        </w:trPr>
        <w:tc>
          <w:tcPr>
            <w:tcW w:w="2260" w:type="dxa"/>
            <w:vAlign w:val="bottom"/>
            <w:gridSpan w:val="2"/>
          </w:tcPr>
          <w:p>
            <w:pPr>
              <w:ind w:left="140"/>
              <w:spacing w:after="0"/>
              <w:rPr>
                <w:sz w:val="20"/>
                <w:szCs w:val="20"/>
                <w:color w:val="auto"/>
              </w:rPr>
            </w:pPr>
            <w:r>
              <w:rPr>
                <w:rFonts w:ascii="Arial" w:cs="Arial" w:eastAsia="Arial" w:hAnsi="Arial"/>
                <w:sz w:val="20"/>
                <w:szCs w:val="20"/>
                <w:color w:val="auto"/>
                <w:w w:val="96"/>
              </w:rPr>
              <w:t>Modes of Transportation</w:t>
            </w:r>
          </w:p>
        </w:tc>
        <w:tc>
          <w:tcPr>
            <w:tcW w:w="460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Truck, Railcar and Ship</w:t>
            </w:r>
          </w:p>
        </w:tc>
        <w:tc>
          <w:tcPr>
            <w:tcW w:w="4440" w:type="dxa"/>
            <w:vAlign w:val="bottom"/>
          </w:tcPr>
          <w:p>
            <w:pPr>
              <w:jc w:val="center"/>
              <w:spacing w:after="0"/>
              <w:rPr>
                <w:sz w:val="20"/>
                <w:szCs w:val="20"/>
                <w:color w:val="auto"/>
              </w:rPr>
            </w:pPr>
            <w:r>
              <w:rPr>
                <w:rFonts w:ascii="Arial" w:cs="Arial" w:eastAsia="Arial" w:hAnsi="Arial"/>
                <w:sz w:val="20"/>
                <w:szCs w:val="20"/>
                <w:color w:val="auto"/>
                <w:w w:val="91"/>
              </w:rPr>
              <w:t>Truck and Railcar</w:t>
            </w:r>
          </w:p>
        </w:tc>
      </w:tr>
    </w:tbl>
    <w:p>
      <w:pPr>
        <w:spacing w:after="0" w:line="128"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The Company has a Magnesia Specialties business with manufacturing facilities in Manistee, Michigan, and Woodville, Ohio. The Magnesia Specialties business produces magnesia-based chemicals products used in industrial, agricultural and environmental applications and dolomitic lime sold primarily to customers in the steel and mining industries.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108" w:lineRule="exact"/>
        <w:rPr>
          <w:sz w:val="20"/>
          <w:szCs w:val="20"/>
          <w:color w:val="auto"/>
        </w:rPr>
      </w:pPr>
    </w:p>
    <w:p>
      <w:pPr>
        <w:jc w:val="both"/>
        <w:ind w:right="60"/>
        <w:spacing w:after="0" w:line="260" w:lineRule="auto"/>
        <w:rPr>
          <w:sz w:val="20"/>
          <w:szCs w:val="20"/>
          <w:color w:val="auto"/>
        </w:rPr>
      </w:pPr>
      <w:r>
        <w:rPr>
          <w:rFonts w:ascii="Arial" w:cs="Arial" w:eastAsia="Arial" w:hAnsi="Arial"/>
          <w:sz w:val="20"/>
          <w:szCs w:val="20"/>
          <w:color w:val="auto"/>
        </w:rPr>
        <w:t>The Company outlined its critical accounting policies in its Annual Report on Form 10-K for the year ended December 31, 2020. There were no changes to the Company’s critical accounting policies during the three months ended March 31, 2021.</w:t>
      </w:r>
    </w:p>
    <w:p>
      <w:pPr>
        <w:spacing w:after="0" w:line="32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Page 20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2021</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Building Materials business is significantly affected by weather patterns and seasonal changes. Production and shipment levels for aggregates, cement, ready mixed concrete and asphalt and paving materials correlate with general construction activity levels, most of which occur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production, shipments and profitability in all markets served by the Company. Due to the potentially significant impact of weather on the Company’s operations, current-period results are not necessarily indicative of expected performance for other interim periods or the full year.</w:t>
      </w:r>
    </w:p>
    <w:p>
      <w:pPr>
        <w:spacing w:after="0" w:line="77"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Earnings before interest; income taxes; depreciation, depletion and amortization; and the earnings/loss from nonconsolidated equity affiliates (Adjusted EBITDA) is an indicator used by the Company and investors to evaluate the Company’s operating performance from period to period. Adjusted EBITDA is not defined by accounting principles generally accepted in the United States and, as such, should not be construed as an alternative to net earnings, earnings from operations or cash provided by operating activities. However, the Company’s management believes that Adjusted EBITDA may provide additional information with respect to the Company’s performance and is a measure used by management to evaluate the Company’s performance. Because Adjusted EBITDA excludes some, but not all, items that affect net earnings and may vary among companies, Adjusted EBITDA as presented by the Company may not be comparable with similarly titled measures of other companies.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net earnings attributable to Martin Marietta to consolidated Adjusted EBITDA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gridSpan w:val="3"/>
          </w:tcPr>
          <w:p>
            <w:pPr>
              <w:jc w:val="center"/>
              <w:spacing w:after="0"/>
              <w:rPr>
                <w:sz w:val="20"/>
                <w:szCs w:val="20"/>
                <w:color w:val="auto"/>
              </w:rPr>
            </w:pPr>
            <w:r>
              <w:rPr>
                <w:rFonts w:ascii="Arial" w:cs="Arial" w:eastAsia="Arial" w:hAnsi="Arial"/>
                <w:sz w:val="20"/>
                <w:szCs w:val="20"/>
                <w:color w:val="auto"/>
                <w:w w:val="89"/>
              </w:rPr>
              <w:t>Three Months Ended</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728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2"/>
              </w:rPr>
              <w:t>March 31,</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28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w w:val="85"/>
              </w:rPr>
              <w:t>2020</w:t>
            </w:r>
          </w:p>
        </w:tc>
        <w:tc>
          <w:tcPr>
            <w:tcW w:w="100" w:type="dxa"/>
            <w:vAlign w:val="bottom"/>
          </w:tcPr>
          <w:p>
            <w:pPr>
              <w:spacing w:after="0"/>
              <w:rPr>
                <w:sz w:val="20"/>
                <w:szCs w:val="20"/>
                <w:color w:val="auto"/>
              </w:rPr>
            </w:pPr>
          </w:p>
        </w:tc>
      </w:tr>
      <w:tr>
        <w:trPr>
          <w:trHeight w:val="237"/>
        </w:trPr>
        <w:tc>
          <w:tcPr>
            <w:tcW w:w="7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80" w:type="dxa"/>
            <w:vAlign w:val="bottom"/>
            <w:gridSpan w:val="3"/>
          </w:tcPr>
          <w:p>
            <w:pPr>
              <w:jc w:val="center"/>
              <w:spacing w:after="0"/>
              <w:rPr>
                <w:sz w:val="20"/>
                <w:szCs w:val="20"/>
                <w:color w:val="auto"/>
              </w:rPr>
            </w:pPr>
            <w:r>
              <w:rPr>
                <w:rFonts w:ascii="Arial" w:cs="Arial" w:eastAsia="Arial" w:hAnsi="Arial"/>
                <w:sz w:val="20"/>
                <w:szCs w:val="20"/>
                <w:i w:val="1"/>
                <w:iCs w:val="1"/>
                <w:color w:val="auto"/>
                <w:w w:val="97"/>
              </w:rPr>
              <w:t>(Dollars in Millions)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28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w:t>
            </w:r>
          </w:p>
        </w:tc>
        <w:tc>
          <w:tcPr>
            <w:tcW w:w="1080" w:type="dxa"/>
            <w:vAlign w:val="bottom"/>
            <w:shd w:val="clear" w:color="auto" w:fill="CFF0FC"/>
          </w:tcPr>
          <w:p>
            <w:pPr>
              <w:jc w:val="right"/>
              <w:ind w:right="881"/>
              <w:spacing w:after="0"/>
              <w:rPr>
                <w:sz w:val="20"/>
                <w:szCs w:val="20"/>
                <w:color w:val="auto"/>
              </w:rPr>
            </w:pPr>
            <w:r>
              <w:rPr>
                <w:rFonts w:ascii="Arial" w:cs="Arial" w:eastAsia="Arial" w:hAnsi="Arial"/>
                <w:sz w:val="20"/>
                <w:szCs w:val="2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65.3</w:t>
            </w:r>
          </w:p>
        </w:tc>
        <w:tc>
          <w:tcPr>
            <w:tcW w:w="2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01"/>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25.9</w:t>
            </w:r>
          </w:p>
        </w:tc>
        <w:tc>
          <w:tcPr>
            <w:tcW w:w="100" w:type="dxa"/>
            <w:vAlign w:val="bottom"/>
            <w:shd w:val="clear" w:color="auto" w:fill="CFF0FC"/>
          </w:tcPr>
          <w:p>
            <w:pPr>
              <w:spacing w:after="0"/>
              <w:rPr>
                <w:sz w:val="21"/>
                <w:szCs w:val="21"/>
                <w:color w:val="auto"/>
              </w:rPr>
            </w:pPr>
          </w:p>
        </w:tc>
      </w:tr>
      <w:tr>
        <w:trPr>
          <w:trHeight w:val="243"/>
        </w:trPr>
        <w:tc>
          <w:tcPr>
            <w:tcW w:w="7280" w:type="dxa"/>
            <w:vAlign w:val="bottom"/>
          </w:tcPr>
          <w:p>
            <w:pPr>
              <w:spacing w:after="0"/>
              <w:rPr>
                <w:sz w:val="20"/>
                <w:szCs w:val="20"/>
                <w:color w:val="auto"/>
              </w:rPr>
            </w:pPr>
            <w:r>
              <w:rPr>
                <w:rFonts w:ascii="Arial" w:cs="Arial" w:eastAsia="Arial" w:hAnsi="Arial"/>
                <w:sz w:val="20"/>
                <w:szCs w:val="20"/>
                <w:color w:val="auto"/>
              </w:rPr>
              <w:t>Add back:</w:t>
            </w: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2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expense, net of interest income</w:t>
            </w:r>
          </w:p>
        </w:tc>
        <w:tc>
          <w:tcPr>
            <w:tcW w:w="10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27.3</w:t>
            </w:r>
          </w:p>
        </w:tc>
        <w:tc>
          <w:tcPr>
            <w:tcW w:w="2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29.6</w:t>
            </w:r>
          </w:p>
        </w:tc>
        <w:tc>
          <w:tcPr>
            <w:tcW w:w="100" w:type="dxa"/>
            <w:vAlign w:val="bottom"/>
            <w:shd w:val="clear" w:color="auto" w:fill="CFF0FC"/>
          </w:tcPr>
          <w:p>
            <w:pPr>
              <w:spacing w:after="0"/>
              <w:rPr>
                <w:sz w:val="21"/>
                <w:szCs w:val="21"/>
                <w:color w:val="auto"/>
              </w:rPr>
            </w:pPr>
          </w:p>
        </w:tc>
      </w:tr>
      <w:tr>
        <w:trPr>
          <w:trHeight w:val="243"/>
        </w:trPr>
        <w:tc>
          <w:tcPr>
            <w:tcW w:w="7280" w:type="dxa"/>
            <w:vAlign w:val="bottom"/>
          </w:tcPr>
          <w:p>
            <w:pPr>
              <w:ind w:left="260"/>
              <w:spacing w:after="0"/>
              <w:rPr>
                <w:sz w:val="20"/>
                <w:szCs w:val="20"/>
                <w:color w:val="auto"/>
              </w:rPr>
            </w:pPr>
            <w:r>
              <w:rPr>
                <w:rFonts w:ascii="Arial" w:cs="Arial" w:eastAsia="Arial" w:hAnsi="Arial"/>
                <w:sz w:val="20"/>
                <w:szCs w:val="20"/>
                <w:color w:val="auto"/>
              </w:rPr>
              <w:t>Income tax expense for controlling interests</w:t>
            </w: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15.8</w:t>
            </w: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0.1</w:t>
            </w:r>
          </w:p>
        </w:tc>
        <w:tc>
          <w:tcPr>
            <w:tcW w:w="100" w:type="dxa"/>
            <w:vAlign w:val="bottom"/>
          </w:tcPr>
          <w:p>
            <w:pPr>
              <w:spacing w:after="0"/>
              <w:rPr>
                <w:sz w:val="21"/>
                <w:szCs w:val="21"/>
                <w:color w:val="auto"/>
              </w:rPr>
            </w:pPr>
          </w:p>
        </w:tc>
      </w:tr>
      <w:tr>
        <w:trPr>
          <w:trHeight w:val="226"/>
        </w:trPr>
        <w:tc>
          <w:tcPr>
            <w:tcW w:w="7280" w:type="dxa"/>
            <w:vAlign w:val="bottom"/>
            <w:shd w:val="clear" w:color="auto" w:fill="CFF0FC"/>
          </w:tcPr>
          <w:p>
            <w:pPr>
              <w:ind w:left="260"/>
              <w:spacing w:after="0" w:line="227" w:lineRule="exact"/>
              <w:rPr>
                <w:sz w:val="20"/>
                <w:szCs w:val="20"/>
                <w:color w:val="auto"/>
              </w:rPr>
            </w:pPr>
            <w:r>
              <w:rPr>
                <w:rFonts w:ascii="Arial" w:cs="Arial" w:eastAsia="Arial" w:hAnsi="Arial"/>
                <w:sz w:val="20"/>
                <w:szCs w:val="20"/>
                <w:color w:val="auto"/>
              </w:rPr>
              <w:t>Depreciation, depletion and amortization and</w:t>
            </w:r>
          </w:p>
        </w:tc>
        <w:tc>
          <w:tcPr>
            <w:tcW w:w="10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7280" w:type="dxa"/>
            <w:vAlign w:val="bottom"/>
            <w:shd w:val="clear" w:color="auto" w:fill="CFF0FC"/>
          </w:tcPr>
          <w:p>
            <w:pPr>
              <w:ind w:left="400"/>
              <w:spacing w:after="0"/>
              <w:rPr>
                <w:sz w:val="20"/>
                <w:szCs w:val="20"/>
                <w:color w:val="auto"/>
              </w:rPr>
            </w:pPr>
            <w:r>
              <w:rPr>
                <w:rFonts w:ascii="Arial" w:cs="Arial" w:eastAsia="Arial" w:hAnsi="Arial"/>
                <w:sz w:val="20"/>
                <w:szCs w:val="20"/>
                <w:color w:val="auto"/>
              </w:rPr>
              <w:t>earnings/loss from nonconsolidated equity affiliates</w:t>
            </w:r>
          </w:p>
        </w:tc>
        <w:tc>
          <w:tcPr>
            <w:tcW w:w="10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96.0</w:t>
            </w:r>
          </w:p>
        </w:tc>
        <w:tc>
          <w:tcPr>
            <w:tcW w:w="280" w:type="dxa"/>
            <w:vAlign w:val="bottom"/>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93.4</w:t>
            </w:r>
          </w:p>
        </w:tc>
        <w:tc>
          <w:tcPr>
            <w:tcW w:w="100" w:type="dxa"/>
            <w:vAlign w:val="bottom"/>
            <w:shd w:val="clear" w:color="auto" w:fill="CFF0FC"/>
          </w:tcPr>
          <w:p>
            <w:pPr>
              <w:spacing w:after="0"/>
              <w:rPr>
                <w:sz w:val="21"/>
                <w:szCs w:val="21"/>
                <w:color w:val="auto"/>
              </w:rPr>
            </w:pPr>
          </w:p>
        </w:tc>
      </w:tr>
      <w:tr>
        <w:trPr>
          <w:trHeight w:val="236"/>
        </w:trPr>
        <w:tc>
          <w:tcPr>
            <w:tcW w:w="7280" w:type="dxa"/>
            <w:vAlign w:val="bottom"/>
          </w:tcPr>
          <w:p>
            <w:pPr>
              <w:spacing w:after="0"/>
              <w:rPr>
                <w:sz w:val="20"/>
                <w:szCs w:val="20"/>
                <w:color w:val="auto"/>
              </w:rPr>
            </w:pPr>
            <w:r>
              <w:rPr>
                <w:rFonts w:ascii="Arial" w:cs="Arial" w:eastAsia="Arial" w:hAnsi="Arial"/>
                <w:sz w:val="20"/>
                <w:szCs w:val="20"/>
                <w:color w:val="auto"/>
              </w:rPr>
              <w:t>Consolidated Adjusted EBITDA</w:t>
            </w:r>
          </w:p>
        </w:tc>
        <w:tc>
          <w:tcPr>
            <w:tcW w:w="1080" w:type="dxa"/>
            <w:vAlign w:val="bottom"/>
            <w:tcBorders>
              <w:bottom w:val="single" w:sz="8" w:color="auto"/>
            </w:tcBorders>
          </w:tcPr>
          <w:p>
            <w:pPr>
              <w:jc w:val="right"/>
              <w:ind w:right="881"/>
              <w:spacing w:after="0"/>
              <w:rPr>
                <w:sz w:val="20"/>
                <w:szCs w:val="20"/>
                <w:color w:val="auto"/>
              </w:rPr>
            </w:pPr>
            <w:r>
              <w:rPr>
                <w:rFonts w:ascii="Arial" w:cs="Arial" w:eastAsia="Arial" w:hAnsi="Arial"/>
                <w:sz w:val="20"/>
                <w:szCs w:val="2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204.4</w:t>
            </w:r>
          </w:p>
        </w:tc>
        <w:tc>
          <w:tcPr>
            <w:tcW w:w="280" w:type="dxa"/>
            <w:vAlign w:val="bottom"/>
          </w:tcPr>
          <w:p>
            <w:pPr>
              <w:spacing w:after="0"/>
              <w:rPr>
                <w:sz w:val="20"/>
                <w:szCs w:val="20"/>
                <w:color w:val="auto"/>
              </w:rPr>
            </w:pPr>
          </w:p>
        </w:tc>
        <w:tc>
          <w:tcPr>
            <w:tcW w:w="7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149.0</w:t>
            </w:r>
          </w:p>
        </w:tc>
        <w:tc>
          <w:tcPr>
            <w:tcW w:w="100" w:type="dxa"/>
            <w:vAlign w:val="bottom"/>
          </w:tcPr>
          <w:p>
            <w:pPr>
              <w:spacing w:after="0"/>
              <w:rPr>
                <w:sz w:val="20"/>
                <w:szCs w:val="20"/>
                <w:color w:val="auto"/>
              </w:rPr>
            </w:pPr>
          </w:p>
        </w:tc>
      </w:tr>
      <w:tr>
        <w:trPr>
          <w:trHeight w:val="20"/>
        </w:trPr>
        <w:tc>
          <w:tcPr>
            <w:tcW w:w="7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2021</w:t>
      </w:r>
    </w:p>
    <w:p>
      <w:pPr>
        <w:jc w:val="center"/>
        <w:spacing w:after="0"/>
        <w:rPr>
          <w:sz w:val="20"/>
          <w:szCs w:val="20"/>
          <w:color w:val="auto"/>
        </w:rPr>
      </w:pPr>
      <w:r>
        <w:rPr>
          <w:rFonts w:ascii="Arial" w:cs="Arial" w:eastAsia="Arial" w:hAnsi="Arial"/>
          <w:sz w:val="20"/>
          <w:szCs w:val="20"/>
          <w:color w:val="auto"/>
        </w:rPr>
        <w:t>(Continued)</w:t>
      </w:r>
    </w:p>
    <w:p>
      <w:pPr>
        <w:spacing w:after="0" w:line="3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Mix-adjusted average selling price (mix-adjusted ASP) excludes the impacts of product, geographic and other mix from the current-period average selling price and is a non-GAAP measure. Mix-adjusted ASP is calculated by comparing current-period shipments to like-to-like shipments in the comparable prior period. Management uses this metric to evaluate the effectiveness of the Company’s pricing increases and believes this information is useful to investors as it provides same-on-same pricing trends. The following reconciles reported average selling price to mix-adjusted ASP and corresponding variances.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gridSpan w:val="4"/>
          </w:tcPr>
          <w:p>
            <w:pPr>
              <w:jc w:val="right"/>
              <w:ind w:right="20"/>
              <w:spacing w:after="0"/>
              <w:rPr>
                <w:sz w:val="20"/>
                <w:szCs w:val="20"/>
                <w:color w:val="auto"/>
              </w:rPr>
            </w:pPr>
            <w:r>
              <w:rPr>
                <w:rFonts w:ascii="Arial" w:cs="Arial" w:eastAsia="Arial" w:hAnsi="Arial"/>
                <w:sz w:val="20"/>
                <w:szCs w:val="20"/>
                <w:color w:val="auto"/>
                <w:w w:val="88"/>
              </w:rPr>
              <w:t>Three Months Ended</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20"/>
                <w:szCs w:val="20"/>
                <w:color w:val="auto"/>
              </w:rPr>
              <w:t>March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CFF0FC"/>
            </w:tcBorders>
          </w:tcPr>
          <w:p>
            <w:pPr>
              <w:spacing w:after="0"/>
              <w:rPr>
                <w:sz w:val="20"/>
                <w:szCs w:val="20"/>
                <w:color w:val="auto"/>
              </w:rPr>
            </w:pPr>
          </w:p>
        </w:tc>
        <w:tc>
          <w:tcPr>
            <w:tcW w:w="1760" w:type="dxa"/>
            <w:vAlign w:val="bottom"/>
            <w:tcBorders>
              <w:bottom w:val="single" w:sz="8" w:color="CFF0FC"/>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w w:val="89"/>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Aggregates Product Line:</w:t>
            </w:r>
          </w:p>
        </w:tc>
        <w:tc>
          <w:tcPr>
            <w:tcW w:w="17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480" w:type="dxa"/>
            <w:vAlign w:val="bottom"/>
          </w:tcPr>
          <w:p>
            <w:pPr>
              <w:spacing w:after="0"/>
              <w:rPr>
                <w:sz w:val="20"/>
                <w:szCs w:val="20"/>
                <w:color w:val="auto"/>
              </w:rPr>
            </w:pPr>
            <w:r>
              <w:rPr>
                <w:rFonts w:ascii="Arial" w:cs="Arial" w:eastAsia="Arial" w:hAnsi="Arial"/>
                <w:sz w:val="20"/>
                <w:szCs w:val="20"/>
                <w:color w:val="auto"/>
              </w:rPr>
              <w:t>Reported average selling price</w:t>
            </w:r>
          </w:p>
        </w:tc>
        <w:tc>
          <w:tcPr>
            <w:tcW w:w="2840" w:type="dxa"/>
            <w:vAlign w:val="bottom"/>
            <w:gridSpan w:val="2"/>
          </w:tcPr>
          <w:p>
            <w:pPr>
              <w:jc w:val="right"/>
              <w:ind w:right="916"/>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15.31</w:t>
            </w:r>
          </w:p>
        </w:tc>
        <w:tc>
          <w:tcPr>
            <w:tcW w:w="260" w:type="dxa"/>
            <w:vAlign w:val="bottom"/>
          </w:tcPr>
          <w:p>
            <w:pPr>
              <w:spacing w:after="0"/>
              <w:rPr>
                <w:sz w:val="24"/>
                <w:szCs w:val="24"/>
                <w:color w:val="auto"/>
              </w:rPr>
            </w:pPr>
          </w:p>
        </w:tc>
        <w:tc>
          <w:tcPr>
            <w:tcW w:w="76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14.80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48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20"/>
                <w:szCs w:val="20"/>
                <w:color w:val="auto"/>
              </w:rPr>
              <w:t>Adjustment for favorable impact of product,</w:t>
            </w:r>
          </w:p>
        </w:tc>
        <w:tc>
          <w:tcPr>
            <w:tcW w:w="176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4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geographic and other mix</w:t>
            </w:r>
          </w:p>
        </w:tc>
        <w:tc>
          <w:tcPr>
            <w:tcW w:w="17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(0.14)</w:t>
            </w: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4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Mix-adjusted ASP</w:t>
            </w:r>
          </w:p>
        </w:tc>
        <w:tc>
          <w:tcPr>
            <w:tcW w:w="1760" w:type="dxa"/>
            <w:vAlign w:val="bottom"/>
            <w:tcBorders>
              <w:bottom w:val="single" w:sz="8" w:color="CFF0FC"/>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15.17</w:t>
            </w:r>
          </w:p>
        </w:tc>
        <w:tc>
          <w:tcPr>
            <w:tcW w:w="2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660" w:type="dxa"/>
            <w:vAlign w:val="bottom"/>
            <w:tcBorders>
              <w:bottom w:val="single" w:sz="8" w:color="CFF0FC"/>
            </w:tcBorders>
          </w:tcPr>
          <w:p>
            <w:pPr>
              <w:spacing w:after="0"/>
              <w:rPr>
                <w:sz w:val="24"/>
                <w:szCs w:val="24"/>
                <w:color w:val="auto"/>
              </w:rPr>
            </w:pPr>
          </w:p>
        </w:tc>
        <w:tc>
          <w:tcPr>
            <w:tcW w:w="11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4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80" w:type="dxa"/>
            <w:vAlign w:val="bottom"/>
          </w:tcPr>
          <w:p>
            <w:pPr>
              <w:spacing w:after="0"/>
              <w:rPr>
                <w:sz w:val="20"/>
                <w:szCs w:val="20"/>
                <w:color w:val="auto"/>
              </w:rPr>
            </w:pPr>
            <w:r>
              <w:rPr>
                <w:rFonts w:ascii="Arial" w:cs="Arial" w:eastAsia="Arial" w:hAnsi="Arial"/>
                <w:sz w:val="20"/>
                <w:szCs w:val="20"/>
                <w:color w:val="auto"/>
              </w:rPr>
              <w:t>Reported average selling price variance</w:t>
            </w:r>
          </w:p>
        </w:tc>
        <w:tc>
          <w:tcPr>
            <w:tcW w:w="1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color w:val="auto"/>
              </w:rPr>
              <w:t>3.4%</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20"/>
                <w:szCs w:val="20"/>
                <w:color w:val="auto"/>
              </w:rPr>
              <w:t>Mix-adjusted ASP variance</w:t>
            </w: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vMerge w:val="continue"/>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line="224" w:lineRule="exact"/>
              <w:rPr>
                <w:sz w:val="20"/>
                <w:szCs w:val="20"/>
                <w:color w:val="auto"/>
              </w:rPr>
            </w:pPr>
            <w:r>
              <w:rPr>
                <w:rFonts w:ascii="Arial" w:cs="Arial" w:eastAsia="Arial" w:hAnsi="Arial"/>
                <w:sz w:val="20"/>
                <w:szCs w:val="20"/>
                <w:color w:val="auto"/>
              </w:rPr>
              <w:t>2.5%</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Cement Product Line:</w:t>
            </w:r>
          </w:p>
        </w:tc>
        <w:tc>
          <w:tcPr>
            <w:tcW w:w="17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480" w:type="dxa"/>
            <w:vAlign w:val="bottom"/>
          </w:tcPr>
          <w:p>
            <w:pPr>
              <w:spacing w:after="0"/>
              <w:rPr>
                <w:sz w:val="20"/>
                <w:szCs w:val="20"/>
                <w:color w:val="auto"/>
              </w:rPr>
            </w:pPr>
            <w:r>
              <w:rPr>
                <w:rFonts w:ascii="Arial" w:cs="Arial" w:eastAsia="Arial" w:hAnsi="Arial"/>
                <w:sz w:val="20"/>
                <w:szCs w:val="20"/>
                <w:color w:val="auto"/>
              </w:rPr>
              <w:t>Reported average selling price</w:t>
            </w:r>
          </w:p>
        </w:tc>
        <w:tc>
          <w:tcPr>
            <w:tcW w:w="2840" w:type="dxa"/>
            <w:vAlign w:val="bottom"/>
            <w:gridSpan w:val="2"/>
          </w:tcPr>
          <w:p>
            <w:pPr>
              <w:jc w:val="right"/>
              <w:ind w:right="916"/>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115.49</w:t>
            </w:r>
          </w:p>
        </w:tc>
        <w:tc>
          <w:tcPr>
            <w:tcW w:w="260" w:type="dxa"/>
            <w:vAlign w:val="bottom"/>
          </w:tcPr>
          <w:p>
            <w:pPr>
              <w:spacing w:after="0"/>
              <w:rPr>
                <w:sz w:val="24"/>
                <w:szCs w:val="24"/>
                <w:color w:val="auto"/>
              </w:rPr>
            </w:pPr>
          </w:p>
        </w:tc>
        <w:tc>
          <w:tcPr>
            <w:tcW w:w="76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113.77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48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20"/>
                <w:szCs w:val="20"/>
                <w:color w:val="auto"/>
              </w:rPr>
              <w:t>Adjustment for unfavorable impact of product,</w:t>
            </w:r>
          </w:p>
        </w:tc>
        <w:tc>
          <w:tcPr>
            <w:tcW w:w="176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4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geographic and other mix</w:t>
            </w:r>
          </w:p>
        </w:tc>
        <w:tc>
          <w:tcPr>
            <w:tcW w:w="1760" w:type="dxa"/>
            <w:vAlign w:val="bottom"/>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0.83</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4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Mix-adjusted ASP</w:t>
            </w:r>
          </w:p>
        </w:tc>
        <w:tc>
          <w:tcPr>
            <w:tcW w:w="1760" w:type="dxa"/>
            <w:vAlign w:val="bottom"/>
            <w:tcBorders>
              <w:bottom w:val="single" w:sz="8" w:color="CFF0FC"/>
            </w:tcBorders>
          </w:tcPr>
          <w:p>
            <w:pPr>
              <w:spacing w:after="0"/>
              <w:rPr>
                <w:sz w:val="24"/>
                <w:szCs w:val="24"/>
                <w:color w:val="auto"/>
              </w:rPr>
            </w:pPr>
          </w:p>
        </w:tc>
        <w:tc>
          <w:tcPr>
            <w:tcW w:w="1080" w:type="dxa"/>
            <w:vAlign w:val="bottom"/>
            <w:tcBorders>
              <w:bottom w:val="single" w:sz="8" w:color="auto"/>
            </w:tcBorders>
          </w:tcPr>
          <w:p>
            <w:pPr>
              <w:jc w:val="right"/>
              <w:ind w:right="91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116.32</w:t>
            </w:r>
          </w:p>
        </w:tc>
        <w:tc>
          <w:tcPr>
            <w:tcW w:w="2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660" w:type="dxa"/>
            <w:vAlign w:val="bottom"/>
            <w:tcBorders>
              <w:bottom w:val="single" w:sz="8" w:color="CFF0FC"/>
            </w:tcBorders>
          </w:tcPr>
          <w:p>
            <w:pPr>
              <w:spacing w:after="0"/>
              <w:rPr>
                <w:sz w:val="24"/>
                <w:szCs w:val="24"/>
                <w:color w:val="auto"/>
              </w:rPr>
            </w:pPr>
          </w:p>
        </w:tc>
        <w:tc>
          <w:tcPr>
            <w:tcW w:w="11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80" w:type="dxa"/>
            <w:vAlign w:val="bottom"/>
          </w:tcPr>
          <w:p>
            <w:pPr>
              <w:spacing w:after="0"/>
              <w:rPr>
                <w:sz w:val="20"/>
                <w:szCs w:val="20"/>
                <w:color w:val="auto"/>
              </w:rPr>
            </w:pPr>
            <w:r>
              <w:rPr>
                <w:rFonts w:ascii="Arial" w:cs="Arial" w:eastAsia="Arial" w:hAnsi="Arial"/>
                <w:sz w:val="20"/>
                <w:szCs w:val="20"/>
                <w:color w:val="auto"/>
              </w:rPr>
              <w:t>Reported average selling price variance</w:t>
            </w:r>
          </w:p>
        </w:tc>
        <w:tc>
          <w:tcPr>
            <w:tcW w:w="1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color w:val="auto"/>
              </w:rPr>
              <w:t>1.5%</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20"/>
                <w:szCs w:val="20"/>
                <w:color w:val="auto"/>
              </w:rPr>
              <w:t>Mix-adjusted ASP variance</w:t>
            </w: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80" w:type="dxa"/>
            <w:vAlign w:val="bottom"/>
            <w:vMerge w:val="continue"/>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line="224" w:lineRule="exact"/>
              <w:rPr>
                <w:sz w:val="20"/>
                <w:szCs w:val="20"/>
                <w:color w:val="auto"/>
              </w:rPr>
            </w:pPr>
            <w:r>
              <w:rPr>
                <w:rFonts w:ascii="Arial" w:cs="Arial" w:eastAsia="Arial" w:hAnsi="Arial"/>
                <w:sz w:val="20"/>
                <w:szCs w:val="20"/>
                <w:color w:val="auto"/>
              </w:rPr>
              <w:t>2.2%</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Financial highlights for the quarter ended March 31, 2021 (unless noted, all comparisons are versus the prior-year quarter):</w:t>
      </w:r>
    </w:p>
    <w:p>
      <w:pPr>
        <w:spacing w:after="0" w:line="108" w:lineRule="exact"/>
        <w:rPr>
          <w:sz w:val="20"/>
          <w:szCs w:val="20"/>
          <w:color w:val="auto"/>
        </w:rPr>
      </w:pPr>
    </w:p>
    <w:p>
      <w:pPr>
        <w:ind w:left="740" w:hanging="368"/>
        <w:spacing w:after="0"/>
        <w:tabs>
          <w:tab w:leader="none" w:pos="74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Consolidated total revenues of $982.4 million compared with $958.2 million</w:t>
      </w:r>
    </w:p>
    <w:p>
      <w:pPr>
        <w:spacing w:after="0" w:line="15" w:lineRule="exact"/>
        <w:rPr>
          <w:rFonts w:ascii="Arial" w:cs="Arial" w:eastAsia="Arial" w:hAnsi="Arial"/>
          <w:sz w:val="20"/>
          <w:szCs w:val="20"/>
          <w:color w:val="007DC6"/>
        </w:rPr>
      </w:pPr>
    </w:p>
    <w:p>
      <w:pPr>
        <w:ind w:left="740" w:hanging="368"/>
        <w:spacing w:after="0"/>
        <w:tabs>
          <w:tab w:leader="none" w:pos="74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$856.6 million compared with $831.1 million</w:t>
      </w:r>
    </w:p>
    <w:p>
      <w:pPr>
        <w:ind w:left="740" w:hanging="368"/>
        <w:spacing w:after="0"/>
        <w:tabs>
          <w:tab w:leader="none" w:pos="74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Magnesia Specialties products revenues of $65.3 million compared with $59.9 million</w:t>
      </w:r>
    </w:p>
    <w:p>
      <w:pPr>
        <w:ind w:left="740" w:hanging="368"/>
        <w:spacing w:after="0"/>
        <w:tabs>
          <w:tab w:leader="none" w:pos="74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Consolidated gross profit of $174.7 million compared with $142.4 million</w:t>
      </w:r>
    </w:p>
    <w:p>
      <w:pPr>
        <w:ind w:left="740" w:hanging="368"/>
        <w:spacing w:after="0"/>
        <w:tabs>
          <w:tab w:leader="none" w:pos="74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Consolidated earnings from operations of $99.3 million compared with $57.8 million</w:t>
      </w:r>
    </w:p>
    <w:p>
      <w:pPr>
        <w:ind w:left="740" w:hanging="368"/>
        <w:spacing w:after="0"/>
        <w:tabs>
          <w:tab w:leader="none" w:pos="74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Net earnings attributable to Martin Marietta of $65.3 million compared with $25.9 million</w:t>
      </w:r>
    </w:p>
    <w:p>
      <w:pPr>
        <w:ind w:left="740" w:hanging="368"/>
        <w:spacing w:after="0"/>
        <w:tabs>
          <w:tab w:leader="none" w:pos="74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Consolidated Adjusted EBITDA of $204.4 million compared with $149.0 million</w:t>
      </w:r>
    </w:p>
    <w:p>
      <w:pPr>
        <w:ind w:left="740" w:hanging="368"/>
        <w:spacing w:after="0"/>
        <w:tabs>
          <w:tab w:leader="none" w:pos="740" w:val="left"/>
        </w:tabs>
        <w:numPr>
          <w:ilvl w:val="0"/>
          <w:numId w:val="10"/>
        </w:numPr>
        <w:rPr>
          <w:rFonts w:ascii="Arial" w:cs="Arial" w:eastAsia="Arial" w:hAnsi="Arial"/>
          <w:sz w:val="20"/>
          <w:szCs w:val="20"/>
          <w:color w:val="007DC6"/>
        </w:rPr>
      </w:pPr>
      <w:r>
        <w:rPr>
          <w:rFonts w:ascii="Arial" w:cs="Arial" w:eastAsia="Arial" w:hAnsi="Arial"/>
          <w:sz w:val="20"/>
          <w:szCs w:val="20"/>
          <w:color w:val="auto"/>
        </w:rPr>
        <w:t>Earnings per diluted share of $1.04 compared with $0.41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2021</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5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following tables present total revenues, gross profit (loss), selling, general and administrative (SG&amp;A) expenses and earnings (loss) from operations data for the Company and its reportable segments by product line for the three months ended March 31, 2021 and 2020. In each case, the data is stated as a percentage of revenues of the Company or the relevant segment or product line, as the case may be.</w:t>
      </w:r>
    </w:p>
    <w:tbl>
      <w:tblPr>
        <w:tblLayout w:type="fixed"/>
        <w:tblInd w:w="0" w:type="dxa"/>
        <w:tblCellMar>
          <w:top w:w="0" w:type="dxa"/>
          <w:left w:w="0" w:type="dxa"/>
          <w:bottom w:w="0" w:type="dxa"/>
          <w:right w:w="0" w:type="dxa"/>
        </w:tblCellMar>
      </w:tblPr>
      <w:tr>
        <w:trPr>
          <w:trHeight w:val="239"/>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20" w:type="dxa"/>
            <w:vAlign w:val="bottom"/>
            <w:gridSpan w:val="5"/>
          </w:tcPr>
          <w:p>
            <w:pPr>
              <w:ind w:left="220"/>
              <w:spacing w:after="0"/>
              <w:rPr>
                <w:sz w:val="20"/>
                <w:szCs w:val="20"/>
                <w:color w:val="auto"/>
              </w:rPr>
            </w:pPr>
            <w:r>
              <w:rPr>
                <w:rFonts w:ascii="Arial" w:cs="Arial" w:eastAsia="Arial" w:hAnsi="Arial"/>
                <w:sz w:val="20"/>
                <w:szCs w:val="20"/>
                <w:color w:val="auto"/>
              </w:rPr>
              <w:t>Three Months Ended March 31,</w:t>
            </w:r>
          </w:p>
        </w:tc>
      </w:tr>
      <w:tr>
        <w:trPr>
          <w:trHeight w:val="236"/>
        </w:trPr>
        <w:tc>
          <w:tcPr>
            <w:tcW w:w="49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20"/>
                <w:szCs w:val="20"/>
                <w:color w:val="auto"/>
              </w:rPr>
              <w:t>2021</w:t>
            </w:r>
          </w:p>
        </w:tc>
        <w:tc>
          <w:tcPr>
            <w:tcW w:w="2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20"/>
                <w:szCs w:val="20"/>
                <w:color w:val="auto"/>
              </w:rPr>
              <w:t>2020</w:t>
            </w:r>
          </w:p>
        </w:tc>
        <w:tc>
          <w:tcPr>
            <w:tcW w:w="1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61"/>
              <w:spacing w:after="0"/>
              <w:rPr>
                <w:sz w:val="20"/>
                <w:szCs w:val="20"/>
                <w:color w:val="auto"/>
              </w:rPr>
            </w:pPr>
            <w:r>
              <w:rPr>
                <w:rFonts w:ascii="Arial" w:cs="Arial" w:eastAsia="Arial" w:hAnsi="Arial"/>
                <w:sz w:val="20"/>
                <w:szCs w:val="20"/>
                <w:color w:val="auto"/>
              </w:rPr>
              <w:t>Amount</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61"/>
              <w:spacing w:after="0"/>
              <w:rPr>
                <w:sz w:val="20"/>
                <w:szCs w:val="20"/>
                <w:color w:val="auto"/>
              </w:rPr>
            </w:pPr>
            <w:r>
              <w:rPr>
                <w:rFonts w:ascii="Arial" w:cs="Arial" w:eastAsia="Arial" w:hAnsi="Arial"/>
                <w:sz w:val="20"/>
                <w:szCs w:val="20"/>
                <w:color w:val="auto"/>
              </w:rPr>
              <w:t>Amount</w:t>
            </w:r>
          </w:p>
        </w:tc>
        <w:tc>
          <w:tcPr>
            <w:tcW w:w="1720" w:type="dxa"/>
            <w:vAlign w:val="bottom"/>
            <w:gridSpan w:val="2"/>
          </w:tcPr>
          <w:p>
            <w:pPr>
              <w:spacing w:after="0"/>
              <w:rPr>
                <w:sz w:val="20"/>
                <w:szCs w:val="20"/>
                <w:color w:val="auto"/>
              </w:rPr>
            </w:pPr>
          </w:p>
        </w:tc>
      </w:tr>
      <w:tr>
        <w:trPr>
          <w:trHeight w:val="237"/>
        </w:trPr>
        <w:tc>
          <w:tcPr>
            <w:tcW w:w="4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600" w:type="dxa"/>
            <w:vAlign w:val="bottom"/>
            <w:tcBorders>
              <w:top w:val="single" w:sz="8" w:color="auto"/>
            </w:tcBorders>
            <w:gridSpan w:val="4"/>
          </w:tcPr>
          <w:p>
            <w:pPr>
              <w:jc w:val="right"/>
              <w:ind w:right="2300"/>
              <w:spacing w:after="0"/>
              <w:rPr>
                <w:sz w:val="20"/>
                <w:szCs w:val="20"/>
                <w:color w:val="auto"/>
              </w:rPr>
            </w:pPr>
            <w:r>
              <w:rPr>
                <w:rFonts w:ascii="Arial" w:cs="Arial" w:eastAsia="Arial" w:hAnsi="Arial"/>
                <w:sz w:val="20"/>
                <w:szCs w:val="20"/>
                <w:i w:val="1"/>
                <w:iCs w:val="1"/>
                <w:color w:val="auto"/>
              </w:rPr>
              <w:t>(Dollars in Millions)</w:t>
            </w:r>
          </w:p>
        </w:tc>
        <w:tc>
          <w:tcPr>
            <w:tcW w:w="120" w:type="dxa"/>
            <w:vAlign w:val="bottom"/>
          </w:tcPr>
          <w:p>
            <w:pPr>
              <w:spacing w:after="0"/>
              <w:rPr>
                <w:sz w:val="20"/>
                <w:szCs w:val="20"/>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 revenues: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20"/>
                <w:szCs w:val="20"/>
                <w:color w:val="auto"/>
              </w:rPr>
              <w:t>East Group</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372.5</w:t>
            </w:r>
          </w:p>
        </w:tc>
        <w:tc>
          <w:tcPr>
            <w:tcW w:w="28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357.9</w:t>
            </w:r>
          </w:p>
        </w:tc>
        <w:tc>
          <w:tcPr>
            <w:tcW w:w="1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20"/>
                <w:szCs w:val="20"/>
                <w:color w:val="auto"/>
              </w:rPr>
              <w:t>West Group</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200.1</w:t>
            </w: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212.4</w:t>
            </w:r>
          </w:p>
        </w:tc>
        <w:tc>
          <w:tcPr>
            <w:tcW w:w="1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ind w:left="620"/>
              <w:spacing w:after="0"/>
              <w:rPr>
                <w:sz w:val="20"/>
                <w:szCs w:val="20"/>
                <w:color w:val="auto"/>
              </w:rPr>
            </w:pPr>
            <w:r>
              <w:rPr>
                <w:rFonts w:ascii="Arial" w:cs="Arial" w:eastAsia="Arial" w:hAnsi="Arial"/>
                <w:sz w:val="20"/>
                <w:szCs w:val="20"/>
                <w:color w:val="auto"/>
              </w:rPr>
              <w:t>Cement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109.6</w:t>
            </w: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106.6</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Ready mixed concrete</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235.3</w:t>
            </w: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189.7</w:t>
            </w:r>
          </w:p>
        </w:tc>
        <w:tc>
          <w:tcPr>
            <w:tcW w:w="1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ind w:left="620"/>
              <w:spacing w:after="0"/>
              <w:rPr>
                <w:sz w:val="20"/>
                <w:szCs w:val="20"/>
                <w:color w:val="auto"/>
              </w:rPr>
            </w:pPr>
            <w:r>
              <w:rPr>
                <w:rFonts w:ascii="Arial" w:cs="Arial" w:eastAsia="Arial" w:hAnsi="Arial"/>
                <w:sz w:val="20"/>
                <w:szCs w:val="20"/>
                <w:color w:val="auto"/>
              </w:rPr>
              <w:t>Asphalt and paving</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12.2</w:t>
            </w: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18.1</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380"/>
              <w:spacing w:after="0"/>
              <w:rPr>
                <w:sz w:val="20"/>
                <w:szCs w:val="20"/>
                <w:color w:val="auto"/>
              </w:rPr>
            </w:pPr>
            <w:r>
              <w:rPr>
                <w:rFonts w:ascii="Arial" w:cs="Arial" w:eastAsia="Arial" w:hAnsi="Arial"/>
                <w:sz w:val="20"/>
                <w:szCs w:val="20"/>
                <w:color w:val="auto"/>
              </w:rPr>
              <w:t>Less: Interproduct revenues</w:t>
            </w: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(73.1)</w:t>
            </w:r>
          </w:p>
        </w:tc>
        <w:tc>
          <w:tcPr>
            <w:tcW w:w="1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740" w:type="dxa"/>
            <w:vAlign w:val="bottom"/>
            <w:gridSpan w:val="2"/>
            <w:shd w:val="clear" w:color="auto" w:fill="CFF0FC"/>
          </w:tcPr>
          <w:p>
            <w:pPr>
              <w:jc w:val="right"/>
              <w:ind w:right="1520"/>
              <w:spacing w:after="0"/>
              <w:rPr>
                <w:sz w:val="20"/>
                <w:szCs w:val="20"/>
                <w:color w:val="auto"/>
              </w:rPr>
            </w:pPr>
            <w:r>
              <w:rPr>
                <w:rFonts w:ascii="Arial" w:cs="Arial" w:eastAsia="Arial" w:hAnsi="Arial"/>
                <w:sz w:val="20"/>
                <w:szCs w:val="20"/>
                <w:color w:val="auto"/>
              </w:rPr>
              <w:t>(53.6)</w:t>
            </w:r>
          </w:p>
        </w:tc>
        <w:tc>
          <w:tcPr>
            <w:tcW w:w="120" w:type="dxa"/>
            <w:vAlign w:val="bottom"/>
            <w:shd w:val="clear" w:color="auto" w:fill="CFF0FC"/>
          </w:tcPr>
          <w:p>
            <w:pPr>
              <w:spacing w:after="0"/>
              <w:rPr>
                <w:sz w:val="21"/>
                <w:szCs w:val="21"/>
                <w:color w:val="auto"/>
              </w:rPr>
            </w:pPr>
          </w:p>
        </w:tc>
      </w:tr>
      <w:tr>
        <w:trPr>
          <w:trHeight w:val="236"/>
        </w:trPr>
        <w:tc>
          <w:tcPr>
            <w:tcW w:w="4900" w:type="dxa"/>
            <w:vAlign w:val="bottom"/>
            <w:tcBorders>
              <w:bottom w:val="single" w:sz="8" w:color="CFF0FC"/>
            </w:tcBorders>
          </w:tcPr>
          <w:p>
            <w:pPr>
              <w:ind w:left="380"/>
              <w:spacing w:after="0"/>
              <w:rPr>
                <w:sz w:val="20"/>
                <w:szCs w:val="20"/>
                <w:color w:val="auto"/>
              </w:rPr>
            </w:pPr>
            <w:r>
              <w:rPr>
                <w:rFonts w:ascii="Arial" w:cs="Arial" w:eastAsia="Arial" w:hAnsi="Arial"/>
                <w:sz w:val="20"/>
                <w:szCs w:val="20"/>
                <w:color w:val="auto"/>
              </w:rPr>
              <w:t>West Group Total</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484.1</w:t>
            </w:r>
          </w:p>
        </w:tc>
        <w:tc>
          <w:tcPr>
            <w:tcW w:w="280" w:type="dxa"/>
            <w:vAlign w:val="bottom"/>
            <w:tcBorders>
              <w:bottom w:val="single" w:sz="8" w:color="CFF0FC"/>
            </w:tcBorders>
          </w:tcPr>
          <w:p>
            <w:pPr>
              <w:spacing w:after="0"/>
              <w:rPr>
                <w:sz w:val="20"/>
                <w:szCs w:val="20"/>
                <w:color w:val="auto"/>
              </w:rPr>
            </w:pPr>
          </w:p>
        </w:tc>
        <w:tc>
          <w:tcPr>
            <w:tcW w:w="164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473.2</w:t>
            </w:r>
          </w:p>
        </w:tc>
        <w:tc>
          <w:tcPr>
            <w:tcW w:w="16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r>
      <w:tr>
        <w:trPr>
          <w:trHeight w:val="237"/>
        </w:trPr>
        <w:tc>
          <w:tcPr>
            <w:tcW w:w="49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856.6</w:t>
            </w:r>
          </w:p>
        </w:tc>
        <w:tc>
          <w:tcPr>
            <w:tcW w:w="2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831.1</w:t>
            </w:r>
          </w:p>
        </w:tc>
        <w:tc>
          <w:tcPr>
            <w:tcW w:w="1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490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Freight</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54.9</w:t>
            </w:r>
          </w:p>
        </w:tc>
        <w:tc>
          <w:tcPr>
            <w:tcW w:w="280" w:type="dxa"/>
            <w:vAlign w:val="bottom"/>
            <w:tcBorders>
              <w:bottom w:val="single" w:sz="8" w:color="CFF0FC"/>
            </w:tcBorders>
          </w:tcPr>
          <w:p>
            <w:pPr>
              <w:spacing w:after="0"/>
              <w:rPr>
                <w:sz w:val="21"/>
                <w:szCs w:val="21"/>
                <w:color w:val="auto"/>
              </w:rPr>
            </w:pPr>
          </w:p>
        </w:tc>
        <w:tc>
          <w:tcPr>
            <w:tcW w:w="16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61.4</w:t>
            </w:r>
          </w:p>
        </w:tc>
        <w:tc>
          <w:tcPr>
            <w:tcW w:w="16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7"/>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911.5</w:t>
            </w:r>
          </w:p>
        </w:tc>
        <w:tc>
          <w:tcPr>
            <w:tcW w:w="2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892.5</w:t>
            </w:r>
          </w:p>
        </w:tc>
        <w:tc>
          <w:tcPr>
            <w:tcW w:w="1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20"/>
                <w:szCs w:val="20"/>
                <w:color w:val="auto"/>
              </w:rPr>
              <w:t>Magnesia Specialties: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9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65.3</w:t>
            </w: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59.9</w:t>
            </w:r>
          </w:p>
        </w:tc>
        <w:tc>
          <w:tcPr>
            <w:tcW w:w="1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Freight</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w:t>
            </w:r>
          </w:p>
        </w:tc>
        <w:tc>
          <w:tcPr>
            <w:tcW w:w="280" w:type="dxa"/>
            <w:vAlign w:val="bottom"/>
            <w:tcBorders>
              <w:bottom w:val="single" w:sz="8" w:color="CFF0FC"/>
            </w:tcBorders>
          </w:tcPr>
          <w:p>
            <w:pPr>
              <w:spacing w:after="0"/>
              <w:rPr>
                <w:sz w:val="21"/>
                <w:szCs w:val="21"/>
                <w:color w:val="auto"/>
              </w:rPr>
            </w:pPr>
          </w:p>
        </w:tc>
        <w:tc>
          <w:tcPr>
            <w:tcW w:w="16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w:t>
            </w:r>
          </w:p>
        </w:tc>
        <w:tc>
          <w:tcPr>
            <w:tcW w:w="16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7"/>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70.9</w:t>
            </w:r>
          </w:p>
        </w:tc>
        <w:tc>
          <w:tcPr>
            <w:tcW w:w="2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65.7</w:t>
            </w:r>
          </w:p>
        </w:tc>
        <w:tc>
          <w:tcPr>
            <w:tcW w:w="1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982.4</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958.2</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2021</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20"/>
                <w:szCs w:val="20"/>
                <w:color w:val="auto"/>
                <w:w w:val="93"/>
              </w:rPr>
              <w:t>Three Months Ended March 31,</w:t>
            </w:r>
          </w:p>
        </w:tc>
        <w:tc>
          <w:tcPr>
            <w:tcW w:w="12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2021</w:t>
            </w:r>
          </w:p>
        </w:tc>
        <w:tc>
          <w:tcPr>
            <w:tcW w:w="1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2020</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 of Revenues</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20"/>
                <w:szCs w:val="20"/>
                <w:color w:val="auto"/>
              </w:rPr>
              <w:t>Amount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6"/>
              </w:rPr>
              <w:t>% of Revenues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gridSpan w:val="7"/>
          </w:tcPr>
          <w:p>
            <w:pPr>
              <w:jc w:val="right"/>
              <w:ind w:right="1020"/>
              <w:spacing w:after="0"/>
              <w:rPr>
                <w:sz w:val="20"/>
                <w:szCs w:val="20"/>
                <w:color w:val="auto"/>
              </w:rPr>
            </w:pPr>
            <w:r>
              <w:rPr>
                <w:rFonts w:ascii="Arial" w:cs="Arial" w:eastAsia="Arial" w:hAnsi="Arial"/>
                <w:sz w:val="20"/>
                <w:szCs w:val="20"/>
                <w:i w:val="1"/>
                <w:iCs w:val="1"/>
                <w:color w:val="auto"/>
              </w:rPr>
              <w:t>(Dollars in Millions)</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Gross profit (loss):</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20"/>
                <w:szCs w:val="20"/>
                <w:color w:val="auto"/>
              </w:rPr>
              <w:t>East Group</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86.5</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59.9</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16.7</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20"/>
                <w:szCs w:val="20"/>
                <w:color w:val="auto"/>
              </w:rPr>
              <w:t>West Group</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35.3</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33.5</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15.8</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620"/>
              <w:spacing w:after="0"/>
              <w:rPr>
                <w:sz w:val="20"/>
                <w:szCs w:val="20"/>
                <w:color w:val="auto"/>
              </w:rPr>
            </w:pPr>
            <w:r>
              <w:rPr>
                <w:rFonts w:ascii="Arial" w:cs="Arial" w:eastAsia="Arial" w:hAnsi="Arial"/>
                <w:sz w:val="20"/>
                <w:szCs w:val="20"/>
                <w:color w:val="auto"/>
              </w:rPr>
              <w:t>Cement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15.3</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14.0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20"/>
                <w:szCs w:val="20"/>
                <w:color w:val="auto"/>
              </w:rPr>
              <w:t>27.3</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Ready mixed concrete</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19.4</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5.9</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620"/>
              <w:spacing w:after="0"/>
              <w:rPr>
                <w:sz w:val="20"/>
                <w:szCs w:val="20"/>
                <w:color w:val="auto"/>
              </w:rPr>
            </w:pPr>
            <w:r>
              <w:rPr>
                <w:rFonts w:ascii="Arial" w:cs="Arial" w:eastAsia="Arial" w:hAnsi="Arial"/>
                <w:sz w:val="20"/>
                <w:szCs w:val="20"/>
                <w:color w:val="auto"/>
              </w:rPr>
              <w:t>Asphalt and paving</w:t>
            </w:r>
          </w:p>
        </w:tc>
        <w:tc>
          <w:tcPr>
            <w:tcW w:w="26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20"/>
                <w:szCs w:val="20"/>
                <w:color w:val="auto"/>
              </w:rPr>
              <w:t>(8.2)</w:t>
            </w:r>
          </w:p>
        </w:tc>
        <w:tc>
          <w:tcPr>
            <w:tcW w:w="1540" w:type="dxa"/>
            <w:vAlign w:val="bottom"/>
            <w:gridSpan w:val="2"/>
          </w:tcPr>
          <w:p>
            <w:pPr>
              <w:ind w:left="960"/>
              <w:spacing w:after="0"/>
              <w:rPr>
                <w:sz w:val="20"/>
                <w:szCs w:val="20"/>
                <w:color w:val="auto"/>
              </w:rPr>
            </w:pPr>
            <w:r>
              <w:rPr>
                <w:rFonts w:ascii="Arial" w:cs="Arial" w:eastAsia="Arial" w:hAnsi="Arial"/>
                <w:sz w:val="20"/>
                <w:szCs w:val="20"/>
                <w:color w:val="auto"/>
              </w:rPr>
              <w:t>NM</w:t>
            </w:r>
          </w:p>
        </w:tc>
        <w:tc>
          <w:tcPr>
            <w:tcW w:w="220" w:type="dxa"/>
            <w:vAlign w:val="bottom"/>
          </w:tcPr>
          <w:p>
            <w:pPr>
              <w:spacing w:after="0"/>
              <w:rPr>
                <w:sz w:val="21"/>
                <w:szCs w:val="21"/>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20"/>
                <w:szCs w:val="20"/>
                <w:color w:val="auto"/>
              </w:rPr>
              <w:t>(8.1)</w:t>
            </w:r>
          </w:p>
        </w:tc>
        <w:tc>
          <w:tcPr>
            <w:tcW w:w="1400" w:type="dxa"/>
            <w:vAlign w:val="bottom"/>
            <w:gridSpan w:val="3"/>
          </w:tcPr>
          <w:p>
            <w:pPr>
              <w:jc w:val="right"/>
              <w:ind w:right="140"/>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37"/>
        </w:trPr>
        <w:tc>
          <w:tcPr>
            <w:tcW w:w="490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West Group Total</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61.8</w:t>
            </w:r>
          </w:p>
        </w:tc>
        <w:tc>
          <w:tcPr>
            <w:tcW w:w="38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12.8</w:t>
            </w:r>
          </w:p>
        </w:tc>
        <w:tc>
          <w:tcPr>
            <w:tcW w:w="24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20"/>
                <w:szCs w:val="20"/>
                <w:color w:val="auto"/>
              </w:rPr>
              <w:t>58.6</w:t>
            </w:r>
          </w:p>
        </w:tc>
        <w:tc>
          <w:tcPr>
            <w:tcW w:w="320" w:type="dxa"/>
            <w:vAlign w:val="bottom"/>
            <w:tcBorders>
              <w:top w:val="single" w:sz="8" w:color="CFF0FC"/>
            </w:tcBorders>
            <w:shd w:val="clear" w:color="auto" w:fill="CFF0FC"/>
          </w:tcPr>
          <w:p>
            <w:pPr>
              <w:spacing w:after="0"/>
              <w:rPr>
                <w:sz w:val="20"/>
                <w:szCs w:val="20"/>
                <w:color w:val="auto"/>
              </w:rPr>
            </w:pPr>
          </w:p>
        </w:tc>
        <w:tc>
          <w:tcPr>
            <w:tcW w:w="1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12.4</w:t>
            </w: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0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148.3</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17.3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20"/>
                <w:szCs w:val="20"/>
                <w:color w:val="auto"/>
              </w:rPr>
              <w:t>118.5</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14.3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2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(0.3)</w:t>
            </w: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gridSpan w:val="4"/>
            <w:shd w:val="clear" w:color="auto" w:fill="CFF0FC"/>
          </w:tcPr>
          <w:p>
            <w:pPr>
              <w:jc w:val="right"/>
              <w:ind w:right="240"/>
              <w:spacing w:after="0"/>
              <w:rPr>
                <w:sz w:val="20"/>
                <w:szCs w:val="20"/>
                <w:color w:val="auto"/>
              </w:rPr>
            </w:pPr>
            <w:r>
              <w:rPr>
                <w:rFonts w:ascii="Arial" w:cs="Arial" w:eastAsia="Arial" w:hAnsi="Arial"/>
                <w:sz w:val="20"/>
                <w:szCs w:val="20"/>
                <w:color w:val="auto"/>
              </w:rPr>
              <w:t>(0.3)</w:t>
            </w:r>
          </w:p>
        </w:tc>
        <w:tc>
          <w:tcPr>
            <w:tcW w:w="1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Building Materials business</w:t>
            </w:r>
          </w:p>
        </w:tc>
        <w:tc>
          <w:tcPr>
            <w:tcW w:w="2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148.0</w:t>
            </w:r>
          </w:p>
        </w:tc>
        <w:tc>
          <w:tcPr>
            <w:tcW w:w="38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16.2</w:t>
            </w:r>
          </w:p>
        </w:tc>
        <w:tc>
          <w:tcPr>
            <w:tcW w:w="24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color w:val="auto"/>
              </w:rPr>
              <w:t>118.2</w:t>
            </w:r>
          </w:p>
        </w:tc>
        <w:tc>
          <w:tcPr>
            <w:tcW w:w="3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13.2</w:t>
            </w: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40"/>
              <w:spacing w:after="0"/>
              <w:rPr>
                <w:sz w:val="20"/>
                <w:szCs w:val="20"/>
                <w:color w:val="auto"/>
              </w:rPr>
            </w:pPr>
            <w:r>
              <w:rPr>
                <w:rFonts w:ascii="Arial" w:cs="Arial" w:eastAsia="Arial" w:hAnsi="Arial"/>
                <w:sz w:val="20"/>
                <w:szCs w:val="20"/>
                <w:color w:val="auto"/>
              </w:rPr>
              <w:t>Products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28.4</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43.5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20"/>
                <w:szCs w:val="20"/>
                <w:color w:val="auto"/>
              </w:rPr>
              <w:t>26.1</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2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(0.9)</w:t>
            </w: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gridSpan w:val="4"/>
            <w:shd w:val="clear" w:color="auto" w:fill="CFF0FC"/>
          </w:tcPr>
          <w:p>
            <w:pPr>
              <w:jc w:val="right"/>
              <w:ind w:right="240"/>
              <w:spacing w:after="0"/>
              <w:rPr>
                <w:sz w:val="20"/>
                <w:szCs w:val="20"/>
                <w:color w:val="auto"/>
              </w:rPr>
            </w:pPr>
            <w:r>
              <w:rPr>
                <w:rFonts w:ascii="Arial" w:cs="Arial" w:eastAsia="Arial" w:hAnsi="Arial"/>
                <w:sz w:val="20"/>
                <w:szCs w:val="20"/>
                <w:color w:val="auto"/>
              </w:rPr>
              <w:t>(0.9)</w:t>
            </w:r>
          </w:p>
        </w:tc>
        <w:tc>
          <w:tcPr>
            <w:tcW w:w="1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Magnesia Specialties</w:t>
            </w:r>
          </w:p>
        </w:tc>
        <w:tc>
          <w:tcPr>
            <w:tcW w:w="2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27.5</w:t>
            </w:r>
          </w:p>
        </w:tc>
        <w:tc>
          <w:tcPr>
            <w:tcW w:w="38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38.8</w:t>
            </w:r>
          </w:p>
        </w:tc>
        <w:tc>
          <w:tcPr>
            <w:tcW w:w="24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color w:val="auto"/>
              </w:rPr>
              <w:t>25.2</w:t>
            </w:r>
          </w:p>
        </w:tc>
        <w:tc>
          <w:tcPr>
            <w:tcW w:w="3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38.4</w:t>
            </w: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(0.8)</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20"/>
                <w:szCs w:val="20"/>
                <w:color w:val="auto"/>
              </w:rPr>
              <w:t>(1.0)</w:t>
            </w: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20"/>
                <w:szCs w:val="20"/>
                <w:color w:val="auto"/>
              </w:rPr>
              <w:t>Total</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174.7</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17.8</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142.4</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14.9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20"/>
                <w:szCs w:val="20"/>
                <w:i w:val="1"/>
                <w:iCs w:val="1"/>
                <w:color w:val="auto"/>
              </w:rPr>
              <w:t>Aggregates Products Gross Profit Rollforward</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160" w:type="dxa"/>
            <w:vAlign w:val="bottom"/>
            <w:gridSpan w:val="6"/>
          </w:tcPr>
          <w:p>
            <w:pPr>
              <w:spacing w:after="0"/>
              <w:rPr>
                <w:sz w:val="20"/>
                <w:szCs w:val="20"/>
                <w:color w:val="auto"/>
              </w:rPr>
            </w:pPr>
            <w:r>
              <w:rPr>
                <w:rFonts w:ascii="Arial" w:cs="Arial" w:eastAsia="Arial" w:hAnsi="Arial"/>
                <w:sz w:val="20"/>
                <w:szCs w:val="20"/>
                <w:color w:val="auto"/>
              </w:rPr>
              <w:t>The following presents a rollforward of aggregates products gross profit (dollars in millions):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5160" w:type="dxa"/>
            <w:vAlign w:val="bottom"/>
            <w:gridSpan w:val="2"/>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0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0"/>
              </w:rPr>
              <w:t>Aggregates products gross profit, quarter ended March 31, 2020</w:t>
            </w:r>
          </w:p>
        </w:tc>
        <w:tc>
          <w:tcPr>
            <w:tcW w:w="10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23"/>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93.4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260"/>
              <w:spacing w:after="0"/>
              <w:rPr>
                <w:sz w:val="20"/>
                <w:szCs w:val="20"/>
                <w:color w:val="auto"/>
              </w:rPr>
            </w:pPr>
            <w:r>
              <w:rPr>
                <w:rFonts w:ascii="Arial" w:cs="Arial" w:eastAsia="Arial" w:hAnsi="Arial"/>
                <w:sz w:val="20"/>
                <w:szCs w:val="20"/>
                <w:color w:val="auto"/>
              </w:rPr>
              <w:t>Volume</w:t>
            </w: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Pricing</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 xml:space="preserve">Operational performance </w:t>
            </w:r>
            <w:r>
              <w:rPr>
                <w:rFonts w:ascii="Arial" w:cs="Arial" w:eastAsia="Arial" w:hAnsi="Arial"/>
                <w:sz w:val="16"/>
                <w:szCs w:val="16"/>
                <w:color w:val="auto"/>
              </w:rPr>
              <w:t>(1)</w:t>
            </w:r>
          </w:p>
        </w:tc>
        <w:tc>
          <w:tcPr>
            <w:tcW w:w="260" w:type="dxa"/>
            <w:vAlign w:val="bottom"/>
            <w:tcBorders>
              <w:bottom w:val="single" w:sz="8" w:color="CFF0FC"/>
            </w:tcBorders>
          </w:tcPr>
          <w:p>
            <w:pPr>
              <w:spacing w:after="0"/>
              <w:rPr>
                <w:sz w:val="21"/>
                <w:szCs w:val="21"/>
                <w:color w:val="auto"/>
              </w:rPr>
            </w:pPr>
          </w:p>
        </w:tc>
        <w:tc>
          <w:tcPr>
            <w:tcW w:w="108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14.1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Change in aggregates products gross profit</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gridSpan w:val="2"/>
          </w:tcPr>
          <w:p>
            <w:pPr>
              <w:spacing w:after="0"/>
              <w:rPr>
                <w:sz w:val="20"/>
                <w:szCs w:val="20"/>
                <w:color w:val="auto"/>
              </w:rPr>
            </w:pPr>
            <w:r>
              <w:rPr>
                <w:rFonts w:ascii="Arial" w:cs="Arial" w:eastAsia="Arial" w:hAnsi="Arial"/>
                <w:sz w:val="20"/>
                <w:szCs w:val="20"/>
                <w:color w:val="auto"/>
                <w:w w:val="90"/>
              </w:rPr>
              <w:t>Aggregates products gross profit, quarter ended March 31, 2021</w:t>
            </w: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0"/>
                <w:szCs w:val="20"/>
                <w:color w:val="auto"/>
              </w:rPr>
              <w:t>121.8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5"/>
          <w:szCs w:val="15"/>
          <w:i w:val="1"/>
          <w:iCs w:val="1"/>
          <w:color w:val="auto"/>
        </w:rPr>
      </w:pPr>
      <w:r>
        <w:rPr>
          <w:rFonts w:ascii="Arial" w:cs="Arial" w:eastAsia="Arial" w:hAnsi="Arial"/>
          <w:sz w:val="18"/>
          <w:szCs w:val="18"/>
          <w:i w:val="1"/>
          <w:iCs w:val="1"/>
          <w:color w:val="auto"/>
        </w:rPr>
        <w:t>Inclusive of cost increases/decreases, product and geographic mix and other operating impacts</w:t>
      </w:r>
    </w:p>
    <w:p>
      <w:pPr>
        <w:spacing w:after="0" w:line="200" w:lineRule="exact"/>
        <w:rPr>
          <w:rFonts w:ascii="Arial" w:cs="Arial" w:eastAsia="Arial" w:hAnsi="Arial"/>
          <w:sz w:val="15"/>
          <w:szCs w:val="15"/>
          <w:i w:val="1"/>
          <w:iCs w:val="1"/>
          <w:color w:val="auto"/>
        </w:rPr>
      </w:pPr>
    </w:p>
    <w:p>
      <w:pPr>
        <w:spacing w:after="0" w:line="360" w:lineRule="exact"/>
        <w:rPr>
          <w:rFonts w:ascii="Arial" w:cs="Arial" w:eastAsia="Arial" w:hAnsi="Arial"/>
          <w:sz w:val="15"/>
          <w:szCs w:val="15"/>
          <w:i w:val="1"/>
          <w:iCs w:val="1"/>
          <w:color w:val="auto"/>
        </w:rPr>
      </w:pPr>
    </w:p>
    <w:p>
      <w:pPr>
        <w:ind w:left="5080"/>
        <w:spacing w:after="0"/>
        <w:rPr>
          <w:rFonts w:ascii="Arial" w:cs="Arial" w:eastAsia="Arial" w:hAnsi="Arial"/>
          <w:sz w:val="15"/>
          <w:szCs w:val="15"/>
          <w:i w:val="1"/>
          <w:iCs w:val="1"/>
          <w:color w:val="auto"/>
        </w:rPr>
      </w:pPr>
      <w:r>
        <w:rPr>
          <w:rFonts w:ascii="Arial" w:cs="Arial" w:eastAsia="Arial" w:hAnsi="Arial"/>
          <w:sz w:val="20"/>
          <w:szCs w:val="20"/>
          <w:color w:val="auto"/>
        </w:rPr>
        <w:t>Page 24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2021</w:t>
      </w:r>
    </w:p>
    <w:p>
      <w:pPr>
        <w:jc w:val="center"/>
        <w:spacing w:after="0"/>
        <w:rPr>
          <w:sz w:val="20"/>
          <w:szCs w:val="20"/>
          <w:color w:val="auto"/>
        </w:rPr>
      </w:pPr>
      <w:r>
        <w:rPr>
          <w:rFonts w:ascii="Arial" w:cs="Arial" w:eastAsia="Arial" w:hAnsi="Arial"/>
          <w:sz w:val="20"/>
          <w:szCs w:val="20"/>
          <w:color w:val="auto"/>
        </w:rPr>
        <w:t>(Continued)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20"/>
                <w:szCs w:val="20"/>
                <w:color w:val="auto"/>
                <w:w w:val="91"/>
              </w:rPr>
              <w:t>Three Months Ended March 31,</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2021</w:t>
            </w:r>
          </w:p>
        </w:tc>
        <w:tc>
          <w:tcPr>
            <w:tcW w:w="12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2020</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0"/>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center"/>
              <w:ind w:right="21"/>
              <w:spacing w:after="0" w:line="220" w:lineRule="exact"/>
              <w:rPr>
                <w:sz w:val="20"/>
                <w:szCs w:val="20"/>
                <w:color w:val="auto"/>
              </w:rPr>
            </w:pPr>
            <w:r>
              <w:rPr>
                <w:rFonts w:ascii="Arial" w:cs="Arial" w:eastAsia="Arial" w:hAnsi="Arial"/>
                <w:sz w:val="20"/>
                <w:szCs w:val="20"/>
                <w:color w:val="auto"/>
                <w:w w:val="94"/>
              </w:rPr>
              <w:t>% of</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center"/>
              <w:ind w:right="101"/>
              <w:spacing w:after="0" w:line="220" w:lineRule="exact"/>
              <w:rPr>
                <w:sz w:val="20"/>
                <w:szCs w:val="20"/>
                <w:color w:val="auto"/>
              </w:rPr>
            </w:pPr>
            <w:r>
              <w:rPr>
                <w:rFonts w:ascii="Arial" w:cs="Arial" w:eastAsia="Arial" w:hAnsi="Arial"/>
                <w:sz w:val="20"/>
                <w:szCs w:val="20"/>
                <w:color w:val="auto"/>
                <w:w w:val="94"/>
              </w:rPr>
              <w:t>% of</w:t>
            </w:r>
          </w:p>
        </w:tc>
        <w:tc>
          <w:tcPr>
            <w:tcW w:w="120" w:type="dxa"/>
            <w:vAlign w:val="bottom"/>
          </w:tcPr>
          <w:p>
            <w:pPr>
              <w:spacing w:after="0"/>
              <w:rPr>
                <w:sz w:val="19"/>
                <w:szCs w:val="19"/>
                <w:color w:val="auto"/>
              </w:rPr>
            </w:pPr>
          </w:p>
        </w:tc>
      </w:tr>
      <w:tr>
        <w:trPr>
          <w:trHeight w:val="246"/>
        </w:trPr>
        <w:tc>
          <w:tcPr>
            <w:tcW w:w="4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20"/>
                <w:szCs w:val="20"/>
                <w:color w:val="auto"/>
              </w:rPr>
              <w:t>Amount</w:t>
            </w:r>
          </w:p>
        </w:tc>
        <w:tc>
          <w:tcPr>
            <w:tcW w:w="1500" w:type="dxa"/>
            <w:vAlign w:val="bottom"/>
            <w:gridSpan w:val="2"/>
          </w:tcPr>
          <w:p>
            <w:pPr>
              <w:jc w:val="center"/>
              <w:ind w:right="340"/>
              <w:spacing w:after="0"/>
              <w:rPr>
                <w:sz w:val="20"/>
                <w:szCs w:val="20"/>
                <w:color w:val="auto"/>
              </w:rPr>
            </w:pPr>
            <w:r>
              <w:rPr>
                <w:rFonts w:ascii="Arial" w:cs="Arial" w:eastAsia="Arial" w:hAnsi="Arial"/>
                <w:sz w:val="20"/>
                <w:szCs w:val="20"/>
                <w:color w:val="auto"/>
                <w:w w:val="84"/>
              </w:rPr>
              <w:t>Revenues</w:t>
            </w:r>
          </w:p>
        </w:tc>
        <w:tc>
          <w:tcPr>
            <w:tcW w:w="1000" w:type="dxa"/>
            <w:vAlign w:val="bottom"/>
          </w:tcPr>
          <w:p>
            <w:pPr>
              <w:jc w:val="right"/>
              <w:spacing w:after="0"/>
              <w:rPr>
                <w:sz w:val="20"/>
                <w:szCs w:val="20"/>
                <w:color w:val="auto"/>
              </w:rPr>
            </w:pPr>
            <w:r>
              <w:rPr>
                <w:rFonts w:ascii="Arial" w:cs="Arial" w:eastAsia="Arial" w:hAnsi="Arial"/>
                <w:sz w:val="20"/>
                <w:szCs w:val="20"/>
                <w:color w:val="auto"/>
              </w:rPr>
              <w:t>Amount</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20"/>
                <w:szCs w:val="20"/>
                <w:color w:val="auto"/>
                <w:w w:val="84"/>
              </w:rPr>
              <w:t>Revenues</w:t>
            </w:r>
          </w:p>
        </w:tc>
      </w:tr>
      <w:tr>
        <w:trPr>
          <w:trHeight w:val="237"/>
        </w:trPr>
        <w:tc>
          <w:tcPr>
            <w:tcW w:w="49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2500" w:type="dxa"/>
            <w:vAlign w:val="bottom"/>
            <w:tcBorders>
              <w:top w:val="single" w:sz="8" w:color="auto"/>
            </w:tcBorders>
            <w:gridSpan w:val="3"/>
            <w:shd w:val="clear" w:color="auto" w:fill="CFF0FC"/>
          </w:tcPr>
          <w:p>
            <w:pPr>
              <w:jc w:val="right"/>
              <w:ind w:right="241"/>
              <w:spacing w:after="0"/>
              <w:rPr>
                <w:sz w:val="20"/>
                <w:szCs w:val="20"/>
                <w:color w:val="auto"/>
              </w:rPr>
            </w:pPr>
            <w:r>
              <w:rPr>
                <w:rFonts w:ascii="Arial" w:cs="Arial" w:eastAsia="Arial" w:hAnsi="Arial"/>
                <w:sz w:val="20"/>
                <w:szCs w:val="20"/>
                <w:i w:val="1"/>
                <w:iCs w:val="1"/>
                <w:color w:val="auto"/>
              </w:rPr>
              <w:t>(Dollars in Millions)</w:t>
            </w:r>
          </w:p>
        </w:tc>
        <w:tc>
          <w:tcPr>
            <w:tcW w:w="36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20"/>
                <w:szCs w:val="20"/>
                <w:color w:val="auto"/>
              </w:rPr>
              <w:t>East Group</w:t>
            </w: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24.2</w:t>
            </w: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801"/>
              <w:spacing w:after="0"/>
              <w:rPr>
                <w:sz w:val="20"/>
                <w:szCs w:val="20"/>
                <w:color w:val="auto"/>
              </w:rPr>
            </w:pPr>
            <w:r>
              <w:rPr>
                <w:rFonts w:ascii="Arial" w:cs="Arial" w:eastAsia="Arial" w:hAnsi="Arial"/>
                <w:sz w:val="20"/>
                <w:szCs w:val="20"/>
                <w:color w:val="auto"/>
                <w:w w:val="71"/>
              </w:rPr>
              <w:t>$</w:t>
            </w:r>
          </w:p>
        </w:tc>
        <w:tc>
          <w:tcPr>
            <w:tcW w:w="360" w:type="dxa"/>
            <w:vAlign w:val="bottom"/>
          </w:tcPr>
          <w:p>
            <w:pPr>
              <w:jc w:val="right"/>
              <w:spacing w:after="0"/>
              <w:rPr>
                <w:sz w:val="20"/>
                <w:szCs w:val="20"/>
                <w:color w:val="auto"/>
              </w:rPr>
            </w:pPr>
            <w:r>
              <w:rPr>
                <w:rFonts w:ascii="Arial" w:cs="Arial" w:eastAsia="Arial" w:hAnsi="Arial"/>
                <w:sz w:val="20"/>
                <w:szCs w:val="20"/>
                <w:color w:val="auto"/>
                <w:w w:val="87"/>
              </w:rPr>
              <w:t>24.7</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33.3</w:t>
            </w:r>
          </w:p>
        </w:tc>
        <w:tc>
          <w:tcPr>
            <w:tcW w:w="4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7"/>
              </w:rPr>
              <w:t>33.4</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57.5</w:t>
            </w: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w w:val="87"/>
              </w:rPr>
              <w:t>58.1</w:t>
            </w: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w:t>
            </w:r>
          </w:p>
        </w:tc>
        <w:tc>
          <w:tcPr>
            <w:tcW w:w="4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Corporate</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18.6</w:t>
            </w:r>
          </w:p>
        </w:tc>
        <w:tc>
          <w:tcPr>
            <w:tcW w:w="420" w:type="dxa"/>
            <w:vAlign w:val="bottom"/>
            <w:tcBorders>
              <w:bottom w:val="single" w:sz="8" w:color="CFF0FC"/>
            </w:tcBorders>
          </w:tcPr>
          <w:p>
            <w:pPr>
              <w:spacing w:after="0"/>
              <w:rPr>
                <w:sz w:val="21"/>
                <w:szCs w:val="21"/>
                <w:color w:val="auto"/>
              </w:rPr>
            </w:pPr>
          </w:p>
        </w:tc>
        <w:tc>
          <w:tcPr>
            <w:tcW w:w="126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7"/>
              </w:rPr>
              <w:t>17.1</w:t>
            </w:r>
          </w:p>
        </w:tc>
        <w:tc>
          <w:tcPr>
            <w:tcW w:w="42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7"/>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79.8</w:t>
            </w:r>
          </w:p>
        </w:tc>
        <w:tc>
          <w:tcPr>
            <w:tcW w:w="4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8.1</w:t>
            </w:r>
          </w:p>
        </w:tc>
        <w:tc>
          <w:tcPr>
            <w:tcW w:w="24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801"/>
              <w:spacing w:after="0"/>
              <w:rPr>
                <w:sz w:val="20"/>
                <w:szCs w:val="20"/>
                <w:color w:val="auto"/>
              </w:rPr>
            </w:pPr>
            <w:r>
              <w:rPr>
                <w:rFonts w:ascii="Arial" w:cs="Arial" w:eastAsia="Arial" w:hAnsi="Arial"/>
                <w:sz w:val="20"/>
                <w:szCs w:val="20"/>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7"/>
              </w:rPr>
              <w:t>78.7</w:t>
            </w:r>
          </w:p>
        </w:tc>
        <w:tc>
          <w:tcPr>
            <w:tcW w:w="4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8.2</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Earnings (Loss) from operations: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East Group</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61.7</w:t>
            </w:r>
          </w:p>
        </w:tc>
        <w:tc>
          <w:tcPr>
            <w:tcW w:w="4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801"/>
              <w:spacing w:after="0"/>
              <w:rPr>
                <w:sz w:val="20"/>
                <w:szCs w:val="20"/>
                <w:color w:val="auto"/>
              </w:rPr>
            </w:pPr>
            <w:r>
              <w:rPr>
                <w:rFonts w:ascii="Arial" w:cs="Arial" w:eastAsia="Arial" w:hAnsi="Arial"/>
                <w:sz w:val="20"/>
                <w:szCs w:val="20"/>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34.8</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West Group</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31.9</w:t>
            </w:r>
          </w:p>
        </w:tc>
        <w:tc>
          <w:tcPr>
            <w:tcW w:w="420" w:type="dxa"/>
            <w:vAlign w:val="bottom"/>
            <w:tcBorders>
              <w:bottom w:val="single" w:sz="8" w:color="CFF0FC"/>
            </w:tcBorders>
          </w:tcPr>
          <w:p>
            <w:pPr>
              <w:spacing w:after="0"/>
              <w:rPr>
                <w:sz w:val="21"/>
                <w:szCs w:val="21"/>
                <w:color w:val="auto"/>
              </w:rPr>
            </w:pPr>
          </w:p>
        </w:tc>
        <w:tc>
          <w:tcPr>
            <w:tcW w:w="126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7"/>
              </w:rPr>
              <w:t>22.7</w:t>
            </w:r>
          </w:p>
        </w:tc>
        <w:tc>
          <w:tcPr>
            <w:tcW w:w="42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7"/>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93.6</w:t>
            </w:r>
          </w:p>
        </w:tc>
        <w:tc>
          <w:tcPr>
            <w:tcW w:w="4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57.5</w:t>
            </w:r>
          </w:p>
        </w:tc>
        <w:tc>
          <w:tcPr>
            <w:tcW w:w="4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20"/>
                <w:szCs w:val="20"/>
                <w:color w:val="auto"/>
              </w:rPr>
              <w:t>Magnesia Specialties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23.5</w:t>
            </w: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w w:val="87"/>
              </w:rPr>
              <w:t>21.7</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2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40"/>
              <w:spacing w:after="0"/>
              <w:rPr>
                <w:sz w:val="20"/>
                <w:szCs w:val="20"/>
                <w:color w:val="auto"/>
              </w:rPr>
            </w:pPr>
            <w:r>
              <w:rPr>
                <w:rFonts w:ascii="Arial" w:cs="Arial" w:eastAsia="Arial" w:hAnsi="Arial"/>
                <w:sz w:val="20"/>
                <w:szCs w:val="20"/>
                <w:color w:val="auto"/>
              </w:rPr>
              <w:t>(17.8)</w:t>
            </w: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80" w:type="dxa"/>
            <w:vAlign w:val="bottom"/>
            <w:gridSpan w:val="3"/>
            <w:shd w:val="clear" w:color="auto" w:fill="CFF0FC"/>
          </w:tcPr>
          <w:p>
            <w:pPr>
              <w:jc w:val="right"/>
              <w:ind w:right="340"/>
              <w:spacing w:after="0"/>
              <w:rPr>
                <w:sz w:val="20"/>
                <w:szCs w:val="20"/>
                <w:color w:val="auto"/>
              </w:rPr>
            </w:pPr>
            <w:r>
              <w:rPr>
                <w:rFonts w:ascii="Arial" w:cs="Arial" w:eastAsia="Arial" w:hAnsi="Arial"/>
                <w:sz w:val="20"/>
                <w:szCs w:val="20"/>
                <w:color w:val="auto"/>
              </w:rPr>
              <w:t>(21.4)</w:t>
            </w: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20"/>
                <w:szCs w:val="20"/>
                <w:color w:val="auto"/>
              </w:rPr>
              <w:t>Total</w:t>
            </w: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99.3</w:t>
            </w: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10.1</w:t>
            </w:r>
          </w:p>
        </w:tc>
        <w:tc>
          <w:tcPr>
            <w:tcW w:w="2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20"/>
                <w:szCs w:val="20"/>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7"/>
              </w:rPr>
              <w:t>57.8</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6.0</w:t>
            </w:r>
          </w:p>
        </w:tc>
        <w:tc>
          <w:tcPr>
            <w:tcW w:w="120" w:type="dxa"/>
            <w:vAlign w:val="bottom"/>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aggregates products volume and pricing variance data and shipments data by segment:</w:t>
      </w:r>
    </w:p>
    <w:p>
      <w:pPr>
        <w:spacing w:after="0" w:line="108" w:lineRule="exact"/>
        <w:rPr>
          <w:sz w:val="20"/>
          <w:szCs w:val="20"/>
          <w:color w:val="auto"/>
        </w:rPr>
      </w:pPr>
    </w:p>
    <w:p>
      <w:pPr>
        <w:jc w:val="center"/>
        <w:ind w:left="672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jc w:val="center"/>
        <w:ind w:left="6720"/>
        <w:spacing w:after="0"/>
        <w:rPr>
          <w:sz w:val="20"/>
          <w:szCs w:val="20"/>
          <w:color w:val="auto"/>
        </w:rPr>
      </w:pPr>
      <w:r>
        <w:rPr>
          <w:rFonts w:ascii="Arial" w:cs="Arial" w:eastAsia="Arial" w:hAnsi="Arial"/>
          <w:sz w:val="20"/>
          <w:szCs w:val="20"/>
          <w:color w:val="auto"/>
        </w:rPr>
        <w:t>March 31,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40" w:type="dxa"/>
            <w:vAlign w:val="bottom"/>
            <w:tcBorders>
              <w:bottom w:val="single" w:sz="8" w:color="CFF0FC"/>
            </w:tcBorders>
          </w:tcPr>
          <w:p>
            <w:pPr>
              <w:spacing w:after="0"/>
              <w:rPr>
                <w:sz w:val="20"/>
                <w:szCs w:val="20"/>
                <w:color w:val="auto"/>
              </w:rPr>
            </w:pPr>
          </w:p>
        </w:tc>
        <w:tc>
          <w:tcPr>
            <w:tcW w:w="13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20"/>
                <w:szCs w:val="20"/>
                <w:color w:val="auto"/>
              </w:rPr>
              <w:t>Volume</w:t>
            </w:r>
          </w:p>
        </w:tc>
        <w:tc>
          <w:tcPr>
            <w:tcW w:w="4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CFF0FC"/>
            </w:tcBorders>
          </w:tcPr>
          <w:p>
            <w:pPr>
              <w:spacing w:after="0"/>
              <w:rPr>
                <w:sz w:val="20"/>
                <w:szCs w:val="20"/>
                <w:color w:val="auto"/>
              </w:rPr>
            </w:pPr>
          </w:p>
        </w:tc>
        <w:tc>
          <w:tcPr>
            <w:tcW w:w="18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20"/>
                <w:szCs w:val="20"/>
                <w:color w:val="auto"/>
              </w:rPr>
              <w:t>Pricing</w:t>
            </w:r>
          </w:p>
        </w:tc>
        <w:tc>
          <w:tcPr>
            <w:tcW w:w="180" w:type="dxa"/>
            <w:vAlign w:val="bottom"/>
            <w:tcBorders>
              <w:bottom w:val="single" w:sz="8" w:color="CFF0FC"/>
            </w:tcBorders>
          </w:tcPr>
          <w:p>
            <w:pPr>
              <w:spacing w:after="0"/>
              <w:rPr>
                <w:sz w:val="20"/>
                <w:szCs w:val="20"/>
                <w:color w:val="auto"/>
              </w:rPr>
            </w:pPr>
          </w:p>
        </w:tc>
      </w:tr>
      <w:tr>
        <w:trPr>
          <w:trHeight w:val="237"/>
        </w:trPr>
        <w:tc>
          <w:tcPr>
            <w:tcW w:w="69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Volume/Pricing variance</w:t>
            </w:r>
            <w:r>
              <w:rPr>
                <w:rFonts w:ascii="Arial" w:cs="Arial" w:eastAsia="Arial" w:hAnsi="Arial"/>
                <w:sz w:val="16"/>
                <w:szCs w:val="16"/>
                <w:color w:val="auto"/>
              </w:rPr>
              <w:t>(1)</w:t>
            </w:r>
          </w:p>
        </w:tc>
        <w:tc>
          <w:tcPr>
            <w:tcW w:w="13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43"/>
        </w:trPr>
        <w:tc>
          <w:tcPr>
            <w:tcW w:w="8300" w:type="dxa"/>
            <w:vAlign w:val="bottom"/>
            <w:gridSpan w:val="2"/>
          </w:tcPr>
          <w:p>
            <w:pPr>
              <w:ind w:left="260"/>
              <w:spacing w:after="0"/>
              <w:rPr>
                <w:sz w:val="20"/>
                <w:szCs w:val="20"/>
                <w:color w:val="auto"/>
              </w:rPr>
            </w:pPr>
            <w:r>
              <w:rPr>
                <w:rFonts w:ascii="Arial" w:cs="Arial" w:eastAsia="Arial" w:hAnsi="Arial"/>
                <w:sz w:val="20"/>
                <w:szCs w:val="20"/>
                <w:color w:val="auto"/>
              </w:rPr>
              <w:t>East Group</w:t>
            </w:r>
          </w:p>
        </w:tc>
        <w:tc>
          <w:tcPr>
            <w:tcW w:w="920" w:type="dxa"/>
            <w:vAlign w:val="bottom"/>
            <w:gridSpan w:val="2"/>
          </w:tcPr>
          <w:p>
            <w:pPr>
              <w:jc w:val="right"/>
              <w:ind w:right="280"/>
              <w:spacing w:after="0"/>
              <w:rPr>
                <w:sz w:val="20"/>
                <w:szCs w:val="20"/>
                <w:color w:val="auto"/>
              </w:rPr>
            </w:pPr>
            <w:r>
              <w:rPr>
                <w:rFonts w:ascii="Arial" w:cs="Arial" w:eastAsia="Arial" w:hAnsi="Arial"/>
                <w:sz w:val="20"/>
                <w:szCs w:val="20"/>
                <w:color w:val="auto"/>
              </w:rPr>
              <w:t>0.2%</w:t>
            </w:r>
          </w:p>
        </w:tc>
        <w:tc>
          <w:tcPr>
            <w:tcW w:w="2020" w:type="dxa"/>
            <w:vAlign w:val="bottom"/>
            <w:gridSpan w:val="2"/>
          </w:tcPr>
          <w:p>
            <w:pPr>
              <w:jc w:val="right"/>
              <w:ind w:right="20"/>
              <w:spacing w:after="0"/>
              <w:rPr>
                <w:sz w:val="20"/>
                <w:szCs w:val="20"/>
                <w:color w:val="auto"/>
              </w:rPr>
            </w:pPr>
            <w:r>
              <w:rPr>
                <w:rFonts w:ascii="Arial" w:cs="Arial" w:eastAsia="Arial" w:hAnsi="Arial"/>
                <w:sz w:val="20"/>
                <w:szCs w:val="20"/>
                <w:color w:val="auto"/>
              </w:rPr>
              <w:t>3.9%</w:t>
            </w:r>
          </w:p>
        </w:tc>
      </w:tr>
      <w:tr>
        <w:trPr>
          <w:trHeight w:val="243"/>
        </w:trPr>
        <w:tc>
          <w:tcPr>
            <w:tcW w:w="830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(7.7)%</w:t>
            </w:r>
          </w:p>
        </w:tc>
        <w:tc>
          <w:tcPr>
            <w:tcW w:w="20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1.9%</w:t>
            </w:r>
          </w:p>
        </w:tc>
      </w:tr>
      <w:tr>
        <w:trPr>
          <w:trHeight w:val="250"/>
        </w:trPr>
        <w:tc>
          <w:tcPr>
            <w:tcW w:w="8300" w:type="dxa"/>
            <w:vAlign w:val="bottom"/>
            <w:gridSpan w:val="2"/>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920" w:type="dxa"/>
            <w:vAlign w:val="bottom"/>
            <w:gridSpan w:val="2"/>
          </w:tcPr>
          <w:p>
            <w:pPr>
              <w:jc w:val="right"/>
              <w:ind w:right="220"/>
              <w:spacing w:after="0"/>
              <w:rPr>
                <w:sz w:val="20"/>
                <w:szCs w:val="20"/>
                <w:color w:val="auto"/>
              </w:rPr>
            </w:pPr>
            <w:r>
              <w:rPr>
                <w:rFonts w:ascii="Arial" w:cs="Arial" w:eastAsia="Arial" w:hAnsi="Arial"/>
                <w:sz w:val="20"/>
                <w:szCs w:val="20"/>
                <w:color w:val="auto"/>
              </w:rPr>
              <w:t>(3.0)%</w:t>
            </w:r>
          </w:p>
        </w:tc>
        <w:tc>
          <w:tcPr>
            <w:tcW w:w="2020" w:type="dxa"/>
            <w:vAlign w:val="bottom"/>
            <w:gridSpan w:val="2"/>
          </w:tcPr>
          <w:p>
            <w:pPr>
              <w:jc w:val="right"/>
              <w:ind w:right="20"/>
              <w:spacing w:after="0"/>
              <w:rPr>
                <w:sz w:val="20"/>
                <w:szCs w:val="20"/>
                <w:color w:val="auto"/>
              </w:rPr>
            </w:pPr>
            <w:r>
              <w:rPr>
                <w:rFonts w:ascii="Arial" w:cs="Arial" w:eastAsia="Arial" w:hAnsi="Arial"/>
                <w:sz w:val="20"/>
                <w:szCs w:val="20"/>
                <w:color w:val="auto"/>
              </w:rPr>
              <w:t>3.4%</w:t>
            </w: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2021</w:t>
      </w:r>
    </w:p>
    <w:p>
      <w:pPr>
        <w:jc w:val="center"/>
        <w:spacing w:after="0"/>
        <w:rPr>
          <w:sz w:val="20"/>
          <w:szCs w:val="20"/>
          <w:color w:val="auto"/>
        </w:rPr>
      </w:pPr>
      <w:r>
        <w:rPr>
          <w:rFonts w:ascii="Arial" w:cs="Arial" w:eastAsia="Arial" w:hAnsi="Arial"/>
          <w:sz w:val="20"/>
          <w:szCs w:val="20"/>
          <w:color w:val="auto"/>
        </w:rPr>
        <w:t>(Continued)</w:t>
      </w:r>
    </w:p>
    <w:p>
      <w:pPr>
        <w:spacing w:after="0" w:line="362" w:lineRule="exact"/>
        <w:rPr>
          <w:sz w:val="20"/>
          <w:szCs w:val="20"/>
          <w:color w:val="auto"/>
        </w:rPr>
      </w:pPr>
    </w:p>
    <w:p>
      <w:pPr>
        <w:jc w:val="center"/>
        <w:ind w:left="696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jc w:val="center"/>
        <w:ind w:left="6960"/>
        <w:spacing w:after="0"/>
        <w:rPr>
          <w:sz w:val="20"/>
          <w:szCs w:val="20"/>
          <w:color w:val="auto"/>
        </w:rPr>
      </w:pPr>
      <w:r>
        <w:rPr>
          <w:rFonts w:ascii="Arial" w:cs="Arial" w:eastAsia="Arial" w:hAnsi="Arial"/>
          <w:sz w:val="20"/>
          <w:szCs w:val="20"/>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0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2021</w:t>
            </w:r>
          </w:p>
        </w:tc>
        <w:tc>
          <w:tcPr>
            <w:tcW w:w="6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20"/>
                <w:szCs w:val="20"/>
                <w:color w:val="auto"/>
              </w:rPr>
              <w:t>2020</w:t>
            </w:r>
          </w:p>
        </w:tc>
        <w:tc>
          <w:tcPr>
            <w:tcW w:w="120" w:type="dxa"/>
            <w:vAlign w:val="bottom"/>
          </w:tcPr>
          <w:p>
            <w:pPr>
              <w:spacing w:after="0"/>
              <w:rPr>
                <w:sz w:val="20"/>
                <w:szCs w:val="20"/>
                <w:color w:val="auto"/>
              </w:rPr>
            </w:pPr>
          </w:p>
        </w:tc>
      </w:tr>
      <w:tr>
        <w:trPr>
          <w:trHeight w:val="237"/>
        </w:trPr>
        <w:tc>
          <w:tcPr>
            <w:tcW w:w="7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80" w:type="dxa"/>
            <w:vAlign w:val="bottom"/>
            <w:gridSpan w:val="3"/>
          </w:tcPr>
          <w:p>
            <w:pPr>
              <w:ind w:left="80"/>
              <w:spacing w:after="0"/>
              <w:rPr>
                <w:sz w:val="20"/>
                <w:szCs w:val="20"/>
                <w:color w:val="auto"/>
              </w:rPr>
            </w:pPr>
            <w:r>
              <w:rPr>
                <w:rFonts w:ascii="Arial" w:cs="Arial" w:eastAsia="Arial" w:hAnsi="Arial"/>
                <w:sz w:val="20"/>
                <w:szCs w:val="20"/>
                <w:i w:val="1"/>
                <w:iCs w:val="1"/>
                <w:color w:val="auto"/>
                <w:w w:val="97"/>
              </w:rPr>
              <w:t>(Tons in Millions)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8320" w:type="dxa"/>
            <w:vAlign w:val="bottom"/>
            <w:gridSpan w:val="2"/>
            <w:shd w:val="clear" w:color="auto" w:fill="CDF0FC"/>
          </w:tcPr>
          <w:p>
            <w:pPr>
              <w:spacing w:after="0"/>
              <w:rPr>
                <w:sz w:val="20"/>
                <w:szCs w:val="20"/>
                <w:color w:val="auto"/>
              </w:rPr>
            </w:pPr>
            <w:r>
              <w:rPr>
                <w:rFonts w:ascii="Arial" w:cs="Arial" w:eastAsia="Arial" w:hAnsi="Arial"/>
                <w:sz w:val="20"/>
                <w:szCs w:val="20"/>
                <w:b w:val="1"/>
                <w:bCs w:val="1"/>
                <w:color w:val="auto"/>
              </w:rPr>
              <w:t>Shipments</w:t>
            </w:r>
          </w:p>
        </w:tc>
        <w:tc>
          <w:tcPr>
            <w:tcW w:w="640" w:type="dxa"/>
            <w:vAlign w:val="bottom"/>
            <w:shd w:val="clear" w:color="auto" w:fill="CDF0FC"/>
          </w:tcPr>
          <w:p>
            <w:pPr>
              <w:spacing w:after="0"/>
              <w:rPr>
                <w:sz w:val="21"/>
                <w:szCs w:val="21"/>
                <w:color w:val="auto"/>
              </w:rPr>
            </w:pPr>
          </w:p>
        </w:tc>
        <w:tc>
          <w:tcPr>
            <w:tcW w:w="300" w:type="dxa"/>
            <w:vAlign w:val="bottom"/>
            <w:shd w:val="clear" w:color="auto" w:fill="CDF0FC"/>
          </w:tcPr>
          <w:p>
            <w:pPr>
              <w:spacing w:after="0"/>
              <w:rPr>
                <w:sz w:val="21"/>
                <w:szCs w:val="21"/>
                <w:color w:val="auto"/>
              </w:rPr>
            </w:pPr>
          </w:p>
        </w:tc>
        <w:tc>
          <w:tcPr>
            <w:tcW w:w="640" w:type="dxa"/>
            <w:vAlign w:val="bottom"/>
            <w:shd w:val="clear" w:color="auto" w:fill="CDF0FC"/>
          </w:tcPr>
          <w:p>
            <w:pPr>
              <w:spacing w:after="0"/>
              <w:rPr>
                <w:sz w:val="21"/>
                <w:szCs w:val="21"/>
                <w:color w:val="auto"/>
              </w:rPr>
            </w:pPr>
          </w:p>
        </w:tc>
        <w:tc>
          <w:tcPr>
            <w:tcW w:w="1220" w:type="dxa"/>
            <w:vAlign w:val="bottom"/>
            <w:shd w:val="clear" w:color="auto" w:fill="CDF0FC"/>
          </w:tcPr>
          <w:p>
            <w:pPr>
              <w:spacing w:after="0"/>
              <w:rPr>
                <w:sz w:val="21"/>
                <w:szCs w:val="21"/>
                <w:color w:val="auto"/>
              </w:rPr>
            </w:pPr>
          </w:p>
        </w:tc>
        <w:tc>
          <w:tcPr>
            <w:tcW w:w="120" w:type="dxa"/>
            <w:vAlign w:val="bottom"/>
            <w:shd w:val="clear" w:color="auto" w:fill="CDF0FC"/>
          </w:tcPr>
          <w:p>
            <w:pPr>
              <w:spacing w:after="0"/>
              <w:rPr>
                <w:sz w:val="21"/>
                <w:szCs w:val="21"/>
                <w:color w:val="auto"/>
              </w:rPr>
            </w:pPr>
          </w:p>
        </w:tc>
      </w:tr>
      <w:tr>
        <w:trPr>
          <w:trHeight w:val="243"/>
        </w:trPr>
        <w:tc>
          <w:tcPr>
            <w:tcW w:w="8320" w:type="dxa"/>
            <w:vAlign w:val="bottom"/>
            <w:gridSpan w:val="2"/>
          </w:tcPr>
          <w:p>
            <w:pPr>
              <w:ind w:left="260"/>
              <w:spacing w:after="0"/>
              <w:rPr>
                <w:sz w:val="20"/>
                <w:szCs w:val="20"/>
                <w:color w:val="auto"/>
              </w:rPr>
            </w:pPr>
            <w:r>
              <w:rPr>
                <w:rFonts w:ascii="Arial" w:cs="Arial" w:eastAsia="Arial" w:hAnsi="Arial"/>
                <w:sz w:val="20"/>
                <w:szCs w:val="20"/>
                <w:color w:val="auto"/>
              </w:rPr>
              <w:t>East Group</w:t>
            </w:r>
          </w:p>
        </w:tc>
        <w:tc>
          <w:tcPr>
            <w:tcW w:w="640" w:type="dxa"/>
            <w:vAlign w:val="bottom"/>
          </w:tcPr>
          <w:p>
            <w:pPr>
              <w:jc w:val="right"/>
              <w:spacing w:after="0"/>
              <w:rPr>
                <w:sz w:val="20"/>
                <w:szCs w:val="20"/>
                <w:color w:val="auto"/>
              </w:rPr>
            </w:pPr>
            <w:r>
              <w:rPr>
                <w:rFonts w:ascii="Arial" w:cs="Arial" w:eastAsia="Arial" w:hAnsi="Arial"/>
                <w:sz w:val="20"/>
                <w:szCs w:val="20"/>
                <w:color w:val="auto"/>
              </w:rPr>
              <w:t>22.7</w:t>
            </w: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22.7</w:t>
            </w:r>
          </w:p>
        </w:tc>
        <w:tc>
          <w:tcPr>
            <w:tcW w:w="120" w:type="dxa"/>
            <w:vAlign w:val="bottom"/>
          </w:tcPr>
          <w:p>
            <w:pPr>
              <w:spacing w:after="0"/>
              <w:rPr>
                <w:sz w:val="21"/>
                <w:szCs w:val="21"/>
                <w:color w:val="auto"/>
              </w:rPr>
            </w:pPr>
          </w:p>
        </w:tc>
      </w:tr>
      <w:tr>
        <w:trPr>
          <w:trHeight w:val="243"/>
        </w:trPr>
        <w:tc>
          <w:tcPr>
            <w:tcW w:w="83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6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14.4</w:t>
            </w: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15.6</w:t>
            </w:r>
          </w:p>
        </w:tc>
        <w:tc>
          <w:tcPr>
            <w:tcW w:w="120" w:type="dxa"/>
            <w:vAlign w:val="bottom"/>
            <w:shd w:val="clear" w:color="auto" w:fill="CFF0FC"/>
          </w:tcPr>
          <w:p>
            <w:pPr>
              <w:spacing w:after="0"/>
              <w:rPr>
                <w:sz w:val="21"/>
                <w:szCs w:val="21"/>
                <w:color w:val="auto"/>
              </w:rPr>
            </w:pPr>
          </w:p>
        </w:tc>
      </w:tr>
      <w:tr>
        <w:trPr>
          <w:trHeight w:val="237"/>
        </w:trPr>
        <w:tc>
          <w:tcPr>
            <w:tcW w:w="7100" w:type="dxa"/>
            <w:vAlign w:val="bottom"/>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12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37.1</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38.3</w:t>
            </w:r>
          </w:p>
        </w:tc>
        <w:tc>
          <w:tcPr>
            <w:tcW w:w="120" w:type="dxa"/>
            <w:vAlign w:val="bottom"/>
          </w:tcPr>
          <w:p>
            <w:pPr>
              <w:spacing w:after="0"/>
              <w:rPr>
                <w:sz w:val="20"/>
                <w:szCs w:val="20"/>
                <w:color w:val="auto"/>
              </w:rPr>
            </w:pPr>
          </w:p>
        </w:tc>
      </w:tr>
      <w:tr>
        <w:trPr>
          <w:trHeight w:val="20"/>
        </w:trPr>
        <w:tc>
          <w:tcPr>
            <w:tcW w:w="7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240" w:hanging="226"/>
        <w:spacing w:after="0"/>
        <w:tabs>
          <w:tab w:leader="none" w:pos="240" w:val="left"/>
        </w:tabs>
        <w:numPr>
          <w:ilvl w:val="0"/>
          <w:numId w:val="12"/>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3" w:lineRule="exact"/>
        <w:rPr>
          <w:rFonts w:ascii="Arial" w:cs="Arial" w:eastAsia="Arial" w:hAnsi="Arial"/>
          <w:sz w:val="15"/>
          <w:szCs w:val="15"/>
          <w:i w:val="1"/>
          <w:iCs w:val="1"/>
          <w:color w:val="auto"/>
        </w:rPr>
      </w:pPr>
    </w:p>
    <w:p>
      <w:pPr>
        <w:ind w:left="240" w:hanging="232"/>
        <w:spacing w:after="0"/>
        <w:tabs>
          <w:tab w:leader="none" w:pos="240" w:val="left"/>
        </w:tabs>
        <w:numPr>
          <w:ilvl w:val="0"/>
          <w:numId w:val="12"/>
        </w:numPr>
        <w:rPr>
          <w:rFonts w:ascii="Arial" w:cs="Arial" w:eastAsia="Arial" w:hAnsi="Arial"/>
          <w:sz w:val="15"/>
          <w:szCs w:val="15"/>
          <w:i w:val="1"/>
          <w:iCs w:val="1"/>
          <w:color w:val="auto"/>
        </w:rPr>
      </w:pPr>
      <w:r>
        <w:rPr>
          <w:rFonts w:ascii="Arial" w:cs="Arial" w:eastAsia="Arial" w:hAnsi="Arial"/>
          <w:sz w:val="18"/>
          <w:szCs w:val="18"/>
          <w:i w:val="1"/>
          <w:iCs w:val="1"/>
          <w:color w:val="auto"/>
        </w:rPr>
        <w:t>Total aggregates operations include acquisitions from the date of acquisition and divestitures through the date of disposal.</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for the Building Materials business by product line:</w:t>
      </w:r>
    </w:p>
    <w:p>
      <w:pPr>
        <w:spacing w:after="0" w:line="108" w:lineRule="exact"/>
        <w:rPr>
          <w:sz w:val="20"/>
          <w:szCs w:val="20"/>
          <w:color w:val="auto"/>
        </w:rPr>
      </w:pPr>
    </w:p>
    <w:p>
      <w:pPr>
        <w:jc w:val="center"/>
        <w:ind w:left="758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jc w:val="center"/>
        <w:ind w:left="7580"/>
        <w:spacing w:after="0"/>
        <w:rPr>
          <w:sz w:val="20"/>
          <w:szCs w:val="20"/>
          <w:color w:val="auto"/>
        </w:rPr>
      </w:pPr>
      <w:r>
        <w:rPr>
          <w:rFonts w:ascii="Arial" w:cs="Arial" w:eastAsia="Arial" w:hAnsi="Arial"/>
          <w:sz w:val="20"/>
          <w:szCs w:val="20"/>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20"/>
                <w:szCs w:val="20"/>
                <w:color w:val="auto"/>
              </w:rPr>
              <w:t>2021</w:t>
            </w: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20" w:type="dxa"/>
            <w:vAlign w:val="bottom"/>
            <w:tcBorders>
              <w:top w:val="single" w:sz="8" w:color="auto"/>
              <w:bottom w:val="single" w:sz="8" w:color="auto"/>
            </w:tcBorders>
            <w:gridSpan w:val="2"/>
          </w:tcPr>
          <w:p>
            <w:pPr>
              <w:jc w:val="right"/>
              <w:ind w:right="341"/>
              <w:spacing w:after="0"/>
              <w:rPr>
                <w:sz w:val="20"/>
                <w:szCs w:val="20"/>
                <w:color w:val="auto"/>
              </w:rPr>
            </w:pPr>
            <w:r>
              <w:rPr>
                <w:rFonts w:ascii="Arial" w:cs="Arial" w:eastAsia="Arial" w:hAnsi="Arial"/>
                <w:sz w:val="20"/>
                <w:szCs w:val="20"/>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r>
              <w:rPr>
                <w:rFonts w:ascii="Arial" w:cs="Arial" w:eastAsia="Arial" w:hAnsi="Arial"/>
                <w:sz w:val="20"/>
                <w:szCs w:val="20"/>
                <w:b w:val="1"/>
                <w:bCs w:val="1"/>
                <w:color w:val="auto"/>
              </w:rPr>
              <w:t>Shipments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FF0FC"/>
          </w:tcPr>
          <w:p>
            <w:pPr>
              <w:spacing w:after="0"/>
              <w:rPr>
                <w:sz w:val="20"/>
                <w:szCs w:val="20"/>
                <w:color w:val="auto"/>
              </w:rPr>
            </w:pPr>
            <w:r>
              <w:rPr>
                <w:rFonts w:ascii="Arial" w:cs="Arial" w:eastAsia="Arial" w:hAnsi="Arial"/>
                <w:sz w:val="20"/>
                <w:szCs w:val="20"/>
                <w:color w:val="auto"/>
              </w:rPr>
              <w:t>Aggregates (in millions):</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20"/>
                <w:szCs w:val="20"/>
                <w:color w:val="auto"/>
              </w:rPr>
              <w:t>Tons to external customers</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34.5</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20"/>
                <w:szCs w:val="20"/>
                <w:color w:val="auto"/>
              </w:rPr>
              <w:t>36.0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FF0FC"/>
          </w:tcPr>
          <w:p>
            <w:pPr>
              <w:ind w:left="380"/>
              <w:spacing w:after="0"/>
              <w:rPr>
                <w:sz w:val="20"/>
                <w:szCs w:val="20"/>
                <w:color w:val="auto"/>
              </w:rPr>
            </w:pPr>
            <w:r>
              <w:rPr>
                <w:rFonts w:ascii="Arial" w:cs="Arial" w:eastAsia="Arial" w:hAnsi="Arial"/>
                <w:sz w:val="20"/>
                <w:szCs w:val="20"/>
                <w:color w:val="auto"/>
              </w:rPr>
              <w:t>Internal tons used in other product lines</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2.3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60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Total aggregates tons</w:t>
            </w:r>
          </w:p>
        </w:tc>
        <w:tc>
          <w:tcPr>
            <w:tcW w:w="380" w:type="dxa"/>
            <w:vAlign w:val="bottom"/>
            <w:tcBorders>
              <w:bottom w:val="single" w:sz="8" w:color="CFF0FC"/>
            </w:tcBorders>
          </w:tcPr>
          <w:p>
            <w:pPr>
              <w:spacing w:after="0"/>
              <w:rPr>
                <w:sz w:val="24"/>
                <w:szCs w:val="24"/>
                <w:color w:val="auto"/>
              </w:rPr>
            </w:pPr>
          </w:p>
        </w:tc>
        <w:tc>
          <w:tcPr>
            <w:tcW w:w="1340" w:type="dxa"/>
            <w:vAlign w:val="bottom"/>
            <w:tcBorders>
              <w:bottom w:val="single" w:sz="8" w:color="CFF0FC"/>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37.1</w:t>
            </w:r>
          </w:p>
        </w:tc>
        <w:tc>
          <w:tcPr>
            <w:tcW w:w="4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38.3</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20"/>
                <w:szCs w:val="20"/>
                <w:color w:val="auto"/>
              </w:rPr>
              <w:t>Cement (in millions):</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Tons to external customers</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0.6</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0.7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Internal tons used in ready mixed concrete</w:t>
            </w:r>
          </w:p>
        </w:tc>
        <w:tc>
          <w:tcPr>
            <w:tcW w:w="38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w:t>
            </w:r>
          </w:p>
        </w:tc>
        <w:tc>
          <w:tcPr>
            <w:tcW w:w="4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0.2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cement tons</w:t>
            </w:r>
          </w:p>
        </w:tc>
        <w:tc>
          <w:tcPr>
            <w:tcW w:w="38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0.9</w:t>
            </w: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0.9</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Ready Mixed Concrete (in millions of cubic yards)</w:t>
            </w:r>
          </w:p>
        </w:tc>
        <w:tc>
          <w:tcPr>
            <w:tcW w:w="3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w:t>
            </w: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1.7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FF0FC"/>
          </w:tcPr>
          <w:p>
            <w:pPr>
              <w:spacing w:after="0"/>
              <w:rPr>
                <w:sz w:val="20"/>
                <w:szCs w:val="20"/>
                <w:color w:val="auto"/>
              </w:rPr>
            </w:pPr>
            <w:r>
              <w:rPr>
                <w:rFonts w:ascii="Arial" w:cs="Arial" w:eastAsia="Arial" w:hAnsi="Arial"/>
                <w:sz w:val="20"/>
                <w:szCs w:val="20"/>
                <w:color w:val="auto"/>
              </w:rPr>
              <w:t>Asphalt (in millions):</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60"/>
              <w:spacing w:after="0"/>
              <w:rPr>
                <w:sz w:val="20"/>
                <w:szCs w:val="20"/>
                <w:color w:val="auto"/>
              </w:rPr>
            </w:pPr>
            <w:r>
              <w:rPr>
                <w:rFonts w:ascii="Arial" w:cs="Arial" w:eastAsia="Arial" w:hAnsi="Arial"/>
                <w:sz w:val="20"/>
                <w:szCs w:val="20"/>
                <w:color w:val="auto"/>
              </w:rPr>
              <w:t>Tons to external customers</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0.1</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20"/>
                <w:szCs w:val="20"/>
                <w:color w:val="auto"/>
              </w:rPr>
              <w:t>0.1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Internal tons used in paving business</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40" w:type="dxa"/>
            <w:vAlign w:val="bottom"/>
            <w:gridSpan w:val="3"/>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156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0.1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20"/>
                <w:szCs w:val="20"/>
                <w:color w:val="auto"/>
              </w:rPr>
              <w:t>Total asphalt tons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Arial" w:cs="Arial" w:eastAsia="Arial" w:hAnsi="Arial"/>
                <w:sz w:val="20"/>
                <w:szCs w:val="20"/>
                <w:color w:val="auto"/>
                <w:w w:val="92"/>
              </w:rPr>
              <w:t>The average selling price by product line for the Building Materials business is as follows:</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73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20"/>
                <w:szCs w:val="20"/>
                <w:color w:val="auto"/>
                <w:w w:val="89"/>
              </w:rPr>
              <w:t>Three Months Ended</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6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center"/>
              <w:ind w:right="700"/>
              <w:spacing w:after="0"/>
              <w:rPr>
                <w:sz w:val="20"/>
                <w:szCs w:val="20"/>
                <w:color w:val="auto"/>
              </w:rPr>
            </w:pPr>
            <w:r>
              <w:rPr>
                <w:rFonts w:ascii="Arial" w:cs="Arial" w:eastAsia="Arial" w:hAnsi="Arial"/>
                <w:sz w:val="20"/>
                <w:szCs w:val="20"/>
                <w:color w:val="auto"/>
                <w:w w:val="92"/>
              </w:rPr>
              <w:t>March 31,</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2021</w:t>
            </w:r>
          </w:p>
        </w:tc>
        <w:tc>
          <w:tcPr>
            <w:tcW w:w="2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2020</w:t>
            </w: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7"/>
              </w:rPr>
              <w:t>% Change</w:t>
            </w:r>
          </w:p>
        </w:tc>
        <w:tc>
          <w:tcPr>
            <w:tcW w:w="260" w:type="dxa"/>
            <w:vAlign w:val="bottom"/>
            <w:tcBorders>
              <w:bottom w:val="single" w:sz="8" w:color="CFF0FC"/>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0" w:type="dxa"/>
            <w:vAlign w:val="bottom"/>
            <w:shd w:val="clear" w:color="auto" w:fill="CFF0FC"/>
          </w:tcPr>
          <w:p>
            <w:pPr>
              <w:spacing w:after="0"/>
              <w:rPr>
                <w:sz w:val="20"/>
                <w:szCs w:val="20"/>
                <w:color w:val="auto"/>
              </w:rPr>
            </w:pPr>
            <w:r>
              <w:rPr>
                <w:rFonts w:ascii="Arial" w:cs="Arial" w:eastAsia="Arial" w:hAnsi="Arial"/>
                <w:sz w:val="20"/>
                <w:szCs w:val="20"/>
                <w:color w:val="auto"/>
              </w:rPr>
              <w:t>Aggregates (per ton)</w:t>
            </w:r>
          </w:p>
        </w:tc>
        <w:tc>
          <w:tcPr>
            <w:tcW w:w="3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15.31</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14.80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60" w:type="dxa"/>
            <w:vAlign w:val="bottom"/>
            <w:gridSpan w:val="3"/>
            <w:shd w:val="clear" w:color="auto" w:fill="CFF0FC"/>
          </w:tcPr>
          <w:p>
            <w:pPr>
              <w:jc w:val="right"/>
              <w:ind w:right="100"/>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20"/>
                <w:szCs w:val="20"/>
                <w:color w:val="auto"/>
              </w:rPr>
              <w:t>Cement (per ton)</w:t>
            </w:r>
          </w:p>
        </w:tc>
        <w:tc>
          <w:tcPr>
            <w:tcW w:w="380" w:type="dxa"/>
            <w:vAlign w:val="bottom"/>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115.49</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113.77</w:t>
            </w:r>
          </w:p>
        </w:tc>
        <w:tc>
          <w:tcPr>
            <w:tcW w:w="240" w:type="dxa"/>
            <w:vAlign w:val="bottom"/>
          </w:tcPr>
          <w:p>
            <w:pPr>
              <w:spacing w:after="0"/>
              <w:rPr>
                <w:sz w:val="21"/>
                <w:szCs w:val="21"/>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43"/>
        </w:trPr>
        <w:tc>
          <w:tcPr>
            <w:tcW w:w="5600" w:type="dxa"/>
            <w:vAlign w:val="bottom"/>
            <w:shd w:val="clear" w:color="auto" w:fill="CFF0FC"/>
          </w:tcPr>
          <w:p>
            <w:pPr>
              <w:spacing w:after="0"/>
              <w:rPr>
                <w:sz w:val="20"/>
                <w:szCs w:val="20"/>
                <w:color w:val="auto"/>
              </w:rPr>
            </w:pPr>
            <w:r>
              <w:rPr>
                <w:rFonts w:ascii="Arial" w:cs="Arial" w:eastAsia="Arial" w:hAnsi="Arial"/>
                <w:sz w:val="20"/>
                <w:szCs w:val="20"/>
                <w:color w:val="auto"/>
              </w:rPr>
              <w:t>Ready Mixed Concrete (per cubic yard)</w:t>
            </w:r>
          </w:p>
        </w:tc>
        <w:tc>
          <w:tcPr>
            <w:tcW w:w="3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112.12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114.35</w:t>
            </w:r>
          </w:p>
        </w:tc>
        <w:tc>
          <w:tcPr>
            <w:tcW w:w="240" w:type="dxa"/>
            <w:vAlign w:val="bottom"/>
            <w:shd w:val="clear" w:color="auto" w:fill="CFF0FC"/>
          </w:tcPr>
          <w:p>
            <w:pPr>
              <w:spacing w:after="0"/>
              <w:rPr>
                <w:sz w:val="21"/>
                <w:szCs w:val="21"/>
                <w:color w:val="auto"/>
              </w:rPr>
            </w:pPr>
          </w:p>
        </w:tc>
        <w:tc>
          <w:tcPr>
            <w:tcW w:w="1680" w:type="dxa"/>
            <w:vAlign w:val="bottom"/>
            <w:gridSpan w:val="4"/>
            <w:shd w:val="clear" w:color="auto" w:fill="CFF0FC"/>
          </w:tcPr>
          <w:p>
            <w:pPr>
              <w:jc w:val="right"/>
              <w:ind w:right="20"/>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0"/>
                <w:szCs w:val="20"/>
                <w:color w:val="auto"/>
              </w:rPr>
            </w:pPr>
            <w:r>
              <w:rPr>
                <w:rFonts w:ascii="Arial" w:cs="Arial" w:eastAsia="Arial" w:hAnsi="Arial"/>
                <w:sz w:val="20"/>
                <w:szCs w:val="20"/>
                <w:color w:val="auto"/>
              </w:rPr>
              <w:t>Asphalt (per ton)</w:t>
            </w:r>
          </w:p>
        </w:tc>
        <w:tc>
          <w:tcPr>
            <w:tcW w:w="380" w:type="dxa"/>
            <w:vAlign w:val="bottom"/>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49.04</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45.43</w:t>
            </w:r>
          </w:p>
        </w:tc>
        <w:tc>
          <w:tcPr>
            <w:tcW w:w="240" w:type="dxa"/>
            <w:vAlign w:val="bottom"/>
          </w:tcPr>
          <w:p>
            <w:pPr>
              <w:spacing w:after="0"/>
              <w:rPr>
                <w:sz w:val="21"/>
                <w:szCs w:val="21"/>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20"/>
                <w:szCs w:val="20"/>
                <w:color w:val="auto"/>
              </w:rPr>
              <w:t>7.9%</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2021</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End-Use Markets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Aggregates shipments to all end-use markets were broadly impacted by winter weather in most of the Company’s divisions that more than offset increased residential and nonresidential construction activity in the East Division.</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Aggregates shipments to the infrastructure market declined, primarily driven by weather-related project delays and the timing of projects. The infrastructure market accounted for 30% of first-quarter aggregates shipments, below the Company’s most recent ten-year annual average of 43%.</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Aggregates shipments to the nonresidential market declined, driven by reduced wind energy construction in the Midwest and lower energy-sector demand in Texas and Colorado. Additionally, the completion of certain projects and the delayed start of new projects due to weather hindered shipments to this end use. Further, the COVID-19 pandemic negatively impacted office and retail development. The nonresidential market represented 37% of first-quarter aggregates shipments.</w:t>
      </w:r>
    </w:p>
    <w:p>
      <w:pPr>
        <w:spacing w:after="0" w:line="83"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Aggregates shipments to the residential market increased 9%. Low available inventory along with low interest rates continues to drive robust residential construction activity. The residential market accounted for 27% of first-quarter aggregates shipments.</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ChemRock/Rail market accounted for the remaining 6% of first-quarter aggregates shipments. Volumes to this end use decreased, driven by lower ballast shipments to the Class I western railroads.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 Product Lines</w:t>
      </w:r>
    </w:p>
    <w:p>
      <w:pPr>
        <w:spacing w:after="0" w:line="108"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First-quarter aggregates shipments declined 3.0% compared with prior-year quarter. East Group shipments increased 0.2%, reflecting strong residential and nonresidential construction activity in the Carolinas, Georgia, Florida and Maryland, which more than offset the Midwest’s later start to the construction season, as compared with the prior year, as well as reduced wind energy construction activity. West Group shipments decreased 7.7%, despite robust underlying demand, due to unfavorable winter weather conditions in both Texas and Colorado and reduced energy-sector demand. Pricing increased 3.4%, or 2.5% on a mix-adjusted basis. In the East Group, pricing increased 3.9%, with improvements in both the East and Central divisions. Geographic mix limited the West Group’s pricing growth to 1.9%. Aggregates product gross margin increased 490 basis points to 21.3%, driven by pricing gains and lower overall costs for contract services and internal freight.</w:t>
      </w:r>
    </w:p>
    <w:p>
      <w:pPr>
        <w:spacing w:after="0" w:line="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Cement shipments increased 0.3% despite the historic winter storm that effectively shut down the Company’s cement operations for 11 days in February. Notably, the Midlothian facility in North Texas experienced double-digit shipment growth for the quarter, demonstrating the robust demand in the Dallas/Fort Worth metroplex that more than offset weather-related impacts and reduced energy-sector activity in the South and West Texas. Pricing improved 1.5%, as lower sales of higher-priced oil-well specialty cement products into West Texas disproportionately impacted overall pricing growth. On a mix-adjusted basis, cement pricing increased 2.2%. Product gross margin declined 1,160 basis points to 14.0%, driven by storm-related incremental costs and inefficiencies caused by the weather-related shut downs.</w:t>
      </w:r>
    </w:p>
    <w:p>
      <w:pPr>
        <w:spacing w:after="0" w:line="5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Ready mixed concrete volume increased 26.5%, led by double-digit growth in Texas from large projects and incremental volume from operations acquired in August 2020. This growth more than offset weather-related shipment declines in Colorado. Pricing declined 2.0% in the first quarter, reflecting geographic mix from a lower percentage of higher-priced Colorado shipments. Product gross margin improved 520 basis points to 8.3%, driven primarily by higher shipments and improved delivery costs. Asphalt pricing increased 7.9% while a return to more normal winter weather conditions in Colorado contributed to the 36.2% decrease in asphalt shipments.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2021</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Magnesia Specialties first-quarter product revenues increased 8.9% to $65.3 million, reflecting improved demand for chemicals and lime products. Product gross profit was $28.4 million compared with $26.1 million. Product gross margin was 43.5%, flat compared with prior-year quarter. First-quarter earnings from operations were $23.5 million in 2021 compared with $21.7 million in 2020.</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Consolidated SG&amp;A for first quarter 2021 was 8.1% of total revenues compared with 8.2% in the prior-year quarter. During first-quarter 2021, the Company incurred $0.9 million in COVID-19 related expenses for enhanced personal protective equipment, as well as cleaning and sanitizing protocols across the Company’s operations, which are recorded in SG&amp;A. Earnings from operations for the quarter were $99.3 million in 2021 compared with $57.8 million in 2020.</w:t>
      </w:r>
    </w:p>
    <w:p>
      <w:pPr>
        <w:spacing w:after="0" w:line="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Among other items, other operating (income) and expenses, net, includes gains and losses on the sale of assets; recoveries and write-offs related to customer accounts receivable; rental, royalty and services income; accretion expense, depreciation expense and gains and losses related to asset retirement obligations. For the first quarter, consolidated other operating (income) expenses, net, was income of $5.6 million in 2021 and expense of $5.6 million in 2020. The year-over-year change reflects higher gains on assets sales and lower credit losses.</w:t>
      </w:r>
    </w:p>
    <w:p>
      <w:pPr>
        <w:spacing w:after="0" w:line="5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Other nonoperating (income) and expenses, net, includes interest income; pension and postretirement benefit cost excluding service cost; foreign currency transaction gains and losses; equity earnings or losses from nonconsolidated affiliates and other miscellaneous income and expenses. For the first quarter, other nonoperating (income) and expenses, net, was income of $9.5 million and expense of $2.0 million in 2021 and 2020, respectively. The 2021 amount reflected lower pension expense of $3.3 million. Additionally, the 2020 expense included a $5.6 million charge to finance third-party railroad maintenance.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the three months ended March 31, 2021, the effective income tax rate was 19.5%. For the three months ended March 31, 2020, the effective income tax rate of 0.6% reflected a $6.9 million discrete benefit from financing third-party railroad track maintenance. In exchange, the Company received a federal income tax credit and deduction.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28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2021</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For the three months ended March 31, cash provided by operating activities was $191.9 million in 2021 compared with $106.7 million in 2020. Operating cash flow is primarily derived from consolidated net earnings before deducting depreciation, depletion and amortization, and the impact of changes in working capital. Depreciation, depletion and amortization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00" w:type="dxa"/>
            <w:vAlign w:val="bottom"/>
          </w:tcPr>
          <w:p>
            <w:pPr>
              <w:spacing w:after="0"/>
              <w:rPr>
                <w:sz w:val="21"/>
                <w:szCs w:val="21"/>
                <w:color w:val="auto"/>
              </w:rPr>
            </w:pPr>
          </w:p>
        </w:tc>
        <w:tc>
          <w:tcPr>
            <w:tcW w:w="2940" w:type="dxa"/>
            <w:vAlign w:val="bottom"/>
            <w:gridSpan w:val="5"/>
          </w:tcPr>
          <w:p>
            <w:pPr>
              <w:jc w:val="center"/>
              <w:ind w:left="361"/>
              <w:spacing w:after="0"/>
              <w:rPr>
                <w:sz w:val="20"/>
                <w:szCs w:val="20"/>
                <w:color w:val="auto"/>
              </w:rPr>
            </w:pPr>
            <w:r>
              <w:rPr>
                <w:rFonts w:ascii="Arial" w:cs="Arial" w:eastAsia="Arial" w:hAnsi="Arial"/>
                <w:sz w:val="20"/>
                <w:szCs w:val="20"/>
                <w:color w:val="auto"/>
                <w:w w:val="89"/>
              </w:rPr>
              <w:t>Three Months Ended</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6"/>
        </w:trPr>
        <w:tc>
          <w:tcPr>
            <w:tcW w:w="77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4"/>
          </w:tcPr>
          <w:p>
            <w:pPr>
              <w:jc w:val="center"/>
              <w:ind w:right="543"/>
              <w:spacing w:after="0"/>
              <w:rPr>
                <w:sz w:val="20"/>
                <w:szCs w:val="20"/>
                <w:color w:val="auto"/>
              </w:rPr>
            </w:pPr>
            <w:r>
              <w:rPr>
                <w:rFonts w:ascii="Arial" w:cs="Arial" w:eastAsia="Arial" w:hAnsi="Arial"/>
                <w:sz w:val="20"/>
                <w:szCs w:val="20"/>
                <w:color w:val="auto"/>
                <w:w w:val="92"/>
              </w:rPr>
              <w:t>March 31,</w:t>
            </w: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6"/>
        </w:trPr>
        <w:tc>
          <w:tcPr>
            <w:tcW w:w="7700" w:type="dxa"/>
            <w:vAlign w:val="bottom"/>
          </w:tcPr>
          <w:p>
            <w:pPr>
              <w:spacing w:after="0"/>
              <w:rPr>
                <w:sz w:val="20"/>
                <w:szCs w:val="20"/>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2021</w:t>
            </w:r>
          </w:p>
        </w:tc>
        <w:tc>
          <w:tcPr>
            <w:tcW w:w="4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20"/>
                <w:szCs w:val="20"/>
                <w:color w:val="auto"/>
              </w:rPr>
              <w:t>2020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7700" w:type="dxa"/>
            <w:vAlign w:val="bottom"/>
          </w:tcPr>
          <w:p>
            <w:pPr>
              <w:spacing w:after="0"/>
              <w:rPr>
                <w:sz w:val="20"/>
                <w:szCs w:val="20"/>
                <w:color w:val="auto"/>
              </w:rPr>
            </w:pPr>
          </w:p>
        </w:tc>
        <w:tc>
          <w:tcPr>
            <w:tcW w:w="2940" w:type="dxa"/>
            <w:vAlign w:val="bottom"/>
            <w:gridSpan w:val="5"/>
          </w:tcPr>
          <w:p>
            <w:pPr>
              <w:jc w:val="center"/>
              <w:ind w:left="361"/>
              <w:spacing w:after="0"/>
              <w:rPr>
                <w:sz w:val="20"/>
                <w:szCs w:val="20"/>
                <w:color w:val="auto"/>
              </w:rPr>
            </w:pPr>
            <w:r>
              <w:rPr>
                <w:rFonts w:ascii="Arial" w:cs="Arial" w:eastAsia="Arial" w:hAnsi="Arial"/>
                <w:sz w:val="20"/>
                <w:szCs w:val="20"/>
                <w:i w:val="1"/>
                <w:iCs w:val="1"/>
                <w:color w:val="auto"/>
                <w:w w:val="97"/>
              </w:rPr>
              <w:t>(Dollars in Millions)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7700" w:type="dxa"/>
            <w:vAlign w:val="bottom"/>
            <w:shd w:val="clear" w:color="auto" w:fill="CFF0FC"/>
          </w:tcPr>
          <w:p>
            <w:pPr>
              <w:spacing w:after="0"/>
              <w:rPr>
                <w:sz w:val="20"/>
                <w:szCs w:val="20"/>
                <w:color w:val="auto"/>
              </w:rPr>
            </w:pPr>
            <w:r>
              <w:rPr>
                <w:rFonts w:ascii="Arial" w:cs="Arial" w:eastAsia="Arial" w:hAnsi="Arial"/>
                <w:sz w:val="20"/>
                <w:szCs w:val="20"/>
                <w:color w:val="auto"/>
              </w:rPr>
              <w:t>Depreciation</w:t>
            </w:r>
          </w:p>
        </w:tc>
        <w:tc>
          <w:tcPr>
            <w:tcW w:w="1100" w:type="dxa"/>
            <w:vAlign w:val="bottom"/>
            <w:shd w:val="clear" w:color="auto" w:fill="CFF0FC"/>
          </w:tcPr>
          <w:p>
            <w:pPr>
              <w:jc w:val="right"/>
              <w:ind w:right="901"/>
              <w:spacing w:after="0"/>
              <w:rPr>
                <w:sz w:val="20"/>
                <w:szCs w:val="20"/>
                <w:color w:val="auto"/>
              </w:rPr>
            </w:pPr>
            <w:r>
              <w:rPr>
                <w:rFonts w:ascii="Arial" w:cs="Arial" w:eastAsia="Arial" w:hAnsi="Arial"/>
                <w:sz w:val="20"/>
                <w:szCs w:val="2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84.7</w:t>
            </w: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903"/>
              <w:spacing w:after="0"/>
              <w:rPr>
                <w:sz w:val="20"/>
                <w:szCs w:val="20"/>
                <w:color w:val="auto"/>
              </w:rPr>
            </w:pPr>
            <w:r>
              <w:rPr>
                <w:rFonts w:ascii="Arial" w:cs="Arial" w:eastAsia="Arial" w:hAnsi="Arial"/>
                <w:sz w:val="20"/>
                <w:szCs w:val="2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83.1</w:t>
            </w:r>
          </w:p>
        </w:tc>
        <w:tc>
          <w:tcPr>
            <w:tcW w:w="120" w:type="dxa"/>
            <w:vAlign w:val="bottom"/>
            <w:shd w:val="clear" w:color="auto" w:fill="CFF0FC"/>
          </w:tcPr>
          <w:p>
            <w:pPr>
              <w:spacing w:after="0"/>
              <w:rPr>
                <w:sz w:val="21"/>
                <w:szCs w:val="21"/>
                <w:color w:val="auto"/>
              </w:rPr>
            </w:pPr>
          </w:p>
        </w:tc>
      </w:tr>
      <w:tr>
        <w:trPr>
          <w:trHeight w:val="243"/>
        </w:trPr>
        <w:tc>
          <w:tcPr>
            <w:tcW w:w="7700" w:type="dxa"/>
            <w:vAlign w:val="bottom"/>
          </w:tcPr>
          <w:p>
            <w:pPr>
              <w:spacing w:after="0"/>
              <w:rPr>
                <w:sz w:val="20"/>
                <w:szCs w:val="20"/>
                <w:color w:val="auto"/>
              </w:rPr>
            </w:pPr>
            <w:r>
              <w:rPr>
                <w:rFonts w:ascii="Arial" w:cs="Arial" w:eastAsia="Arial" w:hAnsi="Arial"/>
                <w:sz w:val="20"/>
                <w:szCs w:val="20"/>
                <w:color w:val="auto"/>
              </w:rPr>
              <w:t>Depletion</w:t>
            </w:r>
          </w:p>
        </w:tc>
        <w:tc>
          <w:tcPr>
            <w:tcW w:w="1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6.8</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7.0</w:t>
            </w:r>
          </w:p>
        </w:tc>
        <w:tc>
          <w:tcPr>
            <w:tcW w:w="120" w:type="dxa"/>
            <w:vAlign w:val="bottom"/>
          </w:tcPr>
          <w:p>
            <w:pPr>
              <w:spacing w:after="0"/>
              <w:rPr>
                <w:sz w:val="21"/>
                <w:szCs w:val="21"/>
                <w:color w:val="auto"/>
              </w:rPr>
            </w:pPr>
          </w:p>
        </w:tc>
      </w:tr>
      <w:tr>
        <w:trPr>
          <w:trHeight w:val="243"/>
        </w:trPr>
        <w:tc>
          <w:tcPr>
            <w:tcW w:w="7700" w:type="dxa"/>
            <w:vAlign w:val="bottom"/>
            <w:shd w:val="clear" w:color="auto" w:fill="CFF0FC"/>
          </w:tcPr>
          <w:p>
            <w:pPr>
              <w:spacing w:after="0"/>
              <w:rPr>
                <w:sz w:val="20"/>
                <w:szCs w:val="20"/>
                <w:color w:val="auto"/>
              </w:rPr>
            </w:pPr>
            <w:r>
              <w:rPr>
                <w:rFonts w:ascii="Arial" w:cs="Arial" w:eastAsia="Arial" w:hAnsi="Arial"/>
                <w:sz w:val="20"/>
                <w:szCs w:val="20"/>
                <w:color w:val="auto"/>
              </w:rPr>
              <w:t>Amortization</w:t>
            </w:r>
          </w:p>
        </w:tc>
        <w:tc>
          <w:tcPr>
            <w:tcW w:w="11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w:t>
            </w:r>
          </w:p>
        </w:tc>
        <w:tc>
          <w:tcPr>
            <w:tcW w:w="120" w:type="dxa"/>
            <w:vAlign w:val="bottom"/>
            <w:shd w:val="clear" w:color="auto" w:fill="CFF0FC"/>
          </w:tcPr>
          <w:p>
            <w:pPr>
              <w:spacing w:after="0"/>
              <w:rPr>
                <w:sz w:val="21"/>
                <w:szCs w:val="21"/>
                <w:color w:val="auto"/>
              </w:rPr>
            </w:pPr>
          </w:p>
        </w:tc>
      </w:tr>
      <w:tr>
        <w:trPr>
          <w:trHeight w:val="237"/>
        </w:trPr>
        <w:tc>
          <w:tcPr>
            <w:tcW w:w="7700" w:type="dxa"/>
            <w:vAlign w:val="bottom"/>
          </w:tcPr>
          <w:p>
            <w:pPr>
              <w:spacing w:after="0"/>
              <w:rPr>
                <w:sz w:val="20"/>
                <w:szCs w:val="20"/>
                <w:color w:val="auto"/>
              </w:rPr>
            </w:pPr>
            <w:r>
              <w:rPr>
                <w:rFonts w:ascii="Arial" w:cs="Arial" w:eastAsia="Arial" w:hAnsi="Arial"/>
                <w:sz w:val="20"/>
                <w:szCs w:val="20"/>
                <w:color w:val="auto"/>
              </w:rPr>
              <w:t>Total</w:t>
            </w:r>
          </w:p>
        </w:tc>
        <w:tc>
          <w:tcPr>
            <w:tcW w:w="1100" w:type="dxa"/>
            <w:vAlign w:val="bottom"/>
            <w:tcBorders>
              <w:bottom w:val="single" w:sz="8" w:color="auto"/>
            </w:tcBorders>
          </w:tcPr>
          <w:p>
            <w:pPr>
              <w:jc w:val="right"/>
              <w:ind w:right="901"/>
              <w:spacing w:after="0"/>
              <w:rPr>
                <w:sz w:val="20"/>
                <w:szCs w:val="20"/>
                <w:color w:val="auto"/>
              </w:rPr>
            </w:pPr>
            <w:r>
              <w:rPr>
                <w:rFonts w:ascii="Arial" w:cs="Arial" w:eastAsia="Arial" w:hAnsi="Arial"/>
                <w:sz w:val="20"/>
                <w:szCs w:val="2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98.6</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3"/>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95.0</w:t>
            </w:r>
          </w:p>
        </w:tc>
        <w:tc>
          <w:tcPr>
            <w:tcW w:w="12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seasonal nature of construction activity impacts the Company’s quarterly operating cash flow when compared with the full year. Full-year 2020 net cash provided by operating activities was $1,050.1 million.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During the three months ended March 31, 2021, the Company paid $110.3 million for capital investments.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can repurchase its common stock through open-market purchases pursuant to authority granted by its Board of Directors or through private transactions at such prices and upon such terms as the Chief Executive Officer deems appropriate. The Company did not repurchase any shares of common stock during the first three months of 2021. At March 31, 2021, 13,520,952 shares of common stock were remaining under the Company’s repurchase authorization.</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April 30, 2021, the Company completed the acquisition of Tiller Corporation (Tiller), a leading aggregates and hot mix asphalt supplier in the Minneapolis/St. Paul region, one of the largest and fastest growing midwestern metropolitan areas and complements the Company’s existing Central Division’s product offerings in the surrounding areas. The Company financed the acquisition using available cash and borrowings under its credit facilities.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through a wholly-owned special-purpose subsidiary, has a $400 million trade receivable securitization facility (the Trade Receivable Facility), which expires on September 22, 2021. The Trade Receivable Facility contains a cross-default provision to the Company’s other debt agreements.</w:t>
      </w:r>
    </w:p>
    <w:p>
      <w:pPr>
        <w:spacing w:after="0" w:line="78"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The Company has a $700 million five-year senior unsecured revolving facility (the Revolving Facility), which expires on December 5, 2024. The Revolving Facility requires the Company’s ratio of consolidated debt-to-consolidated EBITDA, as defined, for the trailing-twelve-month period (the Ratio) to not exceed 3.50x as of the end of any fiscal quarter, provided that the Company may exclude from the Ratio debt incurred in connection with certain acquisitions during the quarter or the three preceding quarters so long as the Ratio calculated without such exclusion does not exceed 3.75x. Additionally, if there are no amounts outstanding under the Revolving Facility and the Trade Receivable Facility, consolidated debt, including debt for which the Company is a co-borrower, may be reduced by the Company’s unrestricted cash and cash equivalents in excess of $50 million, such reduction not to exceed $200 million, for purposes of the covenant calculation.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2021</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Ratio is calculated as debt, including debt for which the Company is a co-borrower, divided by consolidated EBITDA, as defined by the Company’s Revolving Facility, for the trailing-twelve months. Consolidated EBITDA is generally defined as earnings before interest expense, income tax expense, and depreciation and amortization expense. Additionally, stock-based compensation expense is added back and interest income is deducted in the calculation of consolidated EBITDA. During periods that include an acquisition, pre-acquisition adjusted EBITDA of the acquired company is added to consolidated EBITDA as if the acquisition occurred on the first day of the calculation period. Certain other nonrecurring items, if they occur, can affect the calculation of consolidated EBITDA.</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March 31, 2021, the Company’s ratio of consolidated net debt-to-consolidated EBITDA, as defined by the Company’s Revolving Facility, for the trailing-twelve months was 1.74 times and was calculated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20"/>
                <w:szCs w:val="20"/>
                <w:color w:val="auto"/>
                <w:w w:val="93"/>
              </w:rPr>
              <w:t>April 1, 2020 to</w:t>
            </w:r>
          </w:p>
        </w:tc>
        <w:tc>
          <w:tcPr>
            <w:tcW w:w="0" w:type="dxa"/>
            <w:vAlign w:val="bottom"/>
          </w:tcPr>
          <w:p>
            <w:pPr>
              <w:spacing w:after="0"/>
              <w:rPr>
                <w:sz w:val="1"/>
                <w:szCs w:val="1"/>
                <w:color w:val="auto"/>
              </w:rPr>
            </w:pPr>
          </w:p>
        </w:tc>
      </w:tr>
      <w:tr>
        <w:trPr>
          <w:trHeight w:val="246"/>
        </w:trPr>
        <w:tc>
          <w:tcPr>
            <w:tcW w:w="8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20"/>
                <w:szCs w:val="20"/>
                <w:color w:val="auto"/>
                <w:w w:val="90"/>
              </w:rPr>
              <w:t>March 31, 2021</w:t>
            </w:r>
          </w:p>
        </w:tc>
        <w:tc>
          <w:tcPr>
            <w:tcW w:w="0" w:type="dxa"/>
            <w:vAlign w:val="bottom"/>
          </w:tcPr>
          <w:p>
            <w:pPr>
              <w:spacing w:after="0"/>
              <w:rPr>
                <w:sz w:val="1"/>
                <w:szCs w:val="1"/>
                <w:color w:val="auto"/>
              </w:rPr>
            </w:pPr>
          </w:p>
        </w:tc>
      </w:tr>
      <w:tr>
        <w:trPr>
          <w:trHeight w:val="237"/>
        </w:trPr>
        <w:tc>
          <w:tcPr>
            <w:tcW w:w="88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center"/>
              <w:ind w:right="121"/>
              <w:spacing w:after="0"/>
              <w:rPr>
                <w:sz w:val="20"/>
                <w:szCs w:val="20"/>
                <w:color w:val="auto"/>
              </w:rPr>
            </w:pPr>
            <w:r>
              <w:rPr>
                <w:rFonts w:ascii="Arial" w:cs="Arial" w:eastAsia="Arial" w:hAnsi="Arial"/>
                <w:sz w:val="20"/>
                <w:szCs w:val="20"/>
                <w:i w:val="1"/>
                <w:iCs w:val="1"/>
                <w:color w:val="auto"/>
                <w:w w:val="98"/>
              </w:rPr>
              <w:t>(Dollars in Millions)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60" w:type="dxa"/>
            <w:vAlign w:val="bottom"/>
            <w:shd w:val="clear" w:color="auto" w:fill="CFF0FC"/>
          </w:tcPr>
          <w:p>
            <w:pPr>
              <w:spacing w:after="0"/>
              <w:rPr>
                <w:sz w:val="20"/>
                <w:szCs w:val="20"/>
                <w:color w:val="auto"/>
              </w:rPr>
            </w:pPr>
            <w:r>
              <w:rPr>
                <w:rFonts w:ascii="Arial" w:cs="Arial" w:eastAsia="Arial" w:hAnsi="Arial"/>
                <w:sz w:val="20"/>
                <w:szCs w:val="20"/>
                <w:color w:val="auto"/>
              </w:rPr>
              <w:t>Earnings from continuing operations attributable to Martin Marietta</w:t>
            </w:r>
          </w:p>
        </w:tc>
        <w:tc>
          <w:tcPr>
            <w:tcW w:w="20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tcPr>
          <w:p>
            <w:pPr>
              <w:spacing w:after="0"/>
              <w:rPr>
                <w:sz w:val="20"/>
                <w:szCs w:val="20"/>
                <w:color w:val="auto"/>
              </w:rPr>
            </w:pPr>
            <w:r>
              <w:rPr>
                <w:rFonts w:ascii="Arial" w:cs="Arial" w:eastAsia="Arial" w:hAnsi="Arial"/>
                <w:sz w:val="20"/>
                <w:szCs w:val="20"/>
                <w:color w:val="auto"/>
              </w:rPr>
              <w:t>Add back:</w:t>
            </w: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expense</w:t>
            </w:r>
          </w:p>
        </w:tc>
        <w:tc>
          <w:tcPr>
            <w:tcW w:w="20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tcPr>
          <w:p>
            <w:pPr>
              <w:ind w:left="260"/>
              <w:spacing w:after="0"/>
              <w:rPr>
                <w:sz w:val="20"/>
                <w:szCs w:val="20"/>
                <w:color w:val="auto"/>
              </w:rPr>
            </w:pPr>
            <w:r>
              <w:rPr>
                <w:rFonts w:ascii="Arial" w:cs="Arial" w:eastAsia="Arial" w:hAnsi="Arial"/>
                <w:sz w:val="20"/>
                <w:szCs w:val="20"/>
                <w:color w:val="auto"/>
              </w:rPr>
              <w:t>Income tax expense</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183.8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Depreciation, depletion and amortization expense</w:t>
            </w:r>
          </w:p>
        </w:tc>
        <w:tc>
          <w:tcPr>
            <w:tcW w:w="20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tcPr>
          <w:p>
            <w:pPr>
              <w:ind w:left="260"/>
              <w:spacing w:after="0"/>
              <w:rPr>
                <w:sz w:val="20"/>
                <w:szCs w:val="20"/>
                <w:color w:val="auto"/>
              </w:rPr>
            </w:pPr>
            <w:r>
              <w:rPr>
                <w:rFonts w:ascii="Arial" w:cs="Arial" w:eastAsia="Arial" w:hAnsi="Arial"/>
                <w:sz w:val="20"/>
                <w:szCs w:val="20"/>
                <w:color w:val="auto"/>
              </w:rPr>
              <w:t>Stock-based compensation expense</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28.4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tcPr>
          <w:p>
            <w:pPr>
              <w:spacing w:after="0"/>
              <w:rPr>
                <w:sz w:val="20"/>
                <w:szCs w:val="20"/>
                <w:color w:val="auto"/>
              </w:rPr>
            </w:pPr>
            <w:r>
              <w:rPr>
                <w:rFonts w:ascii="Arial" w:cs="Arial" w:eastAsia="Arial" w:hAnsi="Arial"/>
                <w:sz w:val="20"/>
                <w:szCs w:val="20"/>
                <w:color w:val="auto"/>
              </w:rPr>
              <w:t>Deduct:</w:t>
            </w: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income</w:t>
            </w:r>
          </w:p>
        </w:tc>
        <w:tc>
          <w:tcPr>
            <w:tcW w:w="20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(0.3)</w:t>
            </w:r>
          </w:p>
        </w:tc>
        <w:tc>
          <w:tcPr>
            <w:tcW w:w="0" w:type="dxa"/>
            <w:vAlign w:val="bottom"/>
          </w:tcPr>
          <w:p>
            <w:pPr>
              <w:spacing w:after="0"/>
              <w:rPr>
                <w:sz w:val="1"/>
                <w:szCs w:val="1"/>
                <w:color w:val="auto"/>
              </w:rPr>
            </w:pPr>
          </w:p>
        </w:tc>
      </w:tr>
      <w:tr>
        <w:trPr>
          <w:trHeight w:val="276"/>
        </w:trPr>
        <w:tc>
          <w:tcPr>
            <w:tcW w:w="88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Consolidated EBITDA, as defined by the Company’s Revolving Facility</w:t>
            </w: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71"/>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1,481.2</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860" w:type="dxa"/>
            <w:vAlign w:val="bottom"/>
            <w:shd w:val="clear" w:color="auto" w:fill="CFF0FC"/>
          </w:tcPr>
          <w:p>
            <w:pPr>
              <w:spacing w:after="0" w:line="207" w:lineRule="exact"/>
              <w:rPr>
                <w:sz w:val="20"/>
                <w:szCs w:val="20"/>
                <w:color w:val="auto"/>
              </w:rPr>
            </w:pPr>
            <w:r>
              <w:rPr>
                <w:rFonts w:ascii="Arial" w:cs="Arial" w:eastAsia="Arial" w:hAnsi="Arial"/>
                <w:sz w:val="20"/>
                <w:szCs w:val="20"/>
                <w:color w:val="auto"/>
              </w:rPr>
              <w:t>Consolidated net debt, as defined and including debt for which the Company</w:t>
            </w:r>
          </w:p>
        </w:tc>
        <w:tc>
          <w:tcPr>
            <w:tcW w:w="20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is a co-borrower, at March 31, 2021</w:t>
            </w: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2,571.7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20"/>
                <w:szCs w:val="20"/>
                <w:color w:val="auto"/>
              </w:rPr>
              <w:t>Consolidated net debt-to-consolidated EBITDA, as defined by the Company’s</w:t>
            </w: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860" w:type="dxa"/>
            <w:vAlign w:val="bottom"/>
          </w:tcPr>
          <w:p>
            <w:pPr>
              <w:ind w:left="160"/>
              <w:spacing w:after="0"/>
              <w:rPr>
                <w:sz w:val="20"/>
                <w:szCs w:val="20"/>
                <w:color w:val="auto"/>
              </w:rPr>
            </w:pPr>
            <w:r>
              <w:rPr>
                <w:rFonts w:ascii="Arial" w:cs="Arial" w:eastAsia="Arial" w:hAnsi="Arial"/>
                <w:sz w:val="20"/>
                <w:szCs w:val="20"/>
                <w:color w:val="auto"/>
              </w:rPr>
              <w:t>Revolving Facility, at March 31, 2021 for the trailing-twelve months EBITDA</w:t>
            </w:r>
          </w:p>
        </w:tc>
        <w:tc>
          <w:tcPr>
            <w:tcW w:w="200" w:type="dxa"/>
            <w:vAlign w:val="bottom"/>
          </w:tcPr>
          <w:p>
            <w:pPr>
              <w:spacing w:after="0"/>
              <w:rPr>
                <w:sz w:val="21"/>
                <w:szCs w:val="21"/>
                <w:color w:val="auto"/>
              </w:rPr>
            </w:pPr>
          </w:p>
        </w:tc>
        <w:tc>
          <w:tcPr>
            <w:tcW w:w="2180" w:type="dxa"/>
            <w:vAlign w:val="bottom"/>
            <w:gridSpan w:val="2"/>
          </w:tcPr>
          <w:p>
            <w:pPr>
              <w:jc w:val="right"/>
              <w:ind w:right="120"/>
              <w:spacing w:after="0"/>
              <w:rPr>
                <w:sz w:val="20"/>
                <w:szCs w:val="20"/>
                <w:color w:val="auto"/>
              </w:rPr>
            </w:pPr>
            <w:r>
              <w:rPr>
                <w:rFonts w:ascii="Arial" w:cs="Arial" w:eastAsia="Arial" w:hAnsi="Arial"/>
                <w:sz w:val="20"/>
                <w:szCs w:val="20"/>
                <w:color w:val="auto"/>
              </w:rPr>
              <w:t>1.74 times</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the event of a default on the Ratio, the lenders can terminate the Revolving Facility and Trade Receivable Facility and declare any outstanding balances as immediately due. There were no borrowings under the credit facilities as of March 31, 2021.</w:t>
      </w:r>
    </w:p>
    <w:p>
      <w:pPr>
        <w:spacing w:after="0" w:line="4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address near-term debt maturities, meet capital expenditures and discretionary investment needs, fund certain acquisition opportunities that may arise, allow the repurchase of shares of the Company’s common stock when the repurchase program is resumed and allow for payment of dividends for the foreseeable future. Any future significant strategic acquisition for cash would likely require an appropriate balance of newly-issued equity with debt in order to maintain a composite investment-grade credit rating. At March 31, 2021, the Company had $1,097.4 million of unused borrowing capacity under its Revolving Facility and Trade Receivable Facility, subject to complying with the related leverage covenant. Historically, the Company has successfully extended the maturity dates of these credit facilities. Further, as of March 31, 2021, the Company does not have any publicly-traded debt that matures prior to 2024.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2021</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March 31, 2021, the Company had restricted cash of $40.9 million for the purchase of like-kind exchange replacement assets under Section 1031 of the Internal Revenue Code and related IRS procedures (Section 1031) available to use until June 15, 2021.</w:t>
      </w:r>
    </w:p>
    <w:p>
      <w:pPr>
        <w:spacing w:after="0" w:line="4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Coronavirus Aid, Relief and Economic Security Act (CARES Act) was signed into law in March 2020 and provided liquidity support for businesses. Through the CARES Act, the Company deferred the payment of $27.6 million, representing the 6.2% employer share of Social Security taxes for the period from March 27, 2020 through December 31, 2020. Half of the deferred obligation will be due December 31, 2021 and the remaining half will be due December 31, 2022. There will be no interest assessed on amounts deferred.</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outlined the risks associated with its business in its Annual Report on Form 10-K for the year ended December 31, 2020. Management continues to evaluate its exposure to all operating risks on an ongoing basis.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5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Investors are cautioned that all statements in this Form 10-Q that relate to the future involve risks and uncertainties, and are based on assumptions that the Company believes in good faith are reasonable but which may be materially different from actual results. These statements, which are forward-looking statements under the Private Securities Litigation Reform Act of 1995, provide the investor with the Company’s expectations or forecasts of future events.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management’s forward-looking statements here and in other publications may turn out to be wrong.</w:t>
      </w:r>
    </w:p>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outlook is subject to various risks and uncertainties, and is based on assumptions that the Company believes in good faith are reasonable but which may be materially different from actual results. Factors that the Company currently believes could cause actual results to differ materially from the forward-looking statements in this Form 10-Q (including the outlook) include, but are not limited to: the ability of the Company to face challenges, including those posed by the COVID-19 pandemic and implementation of any such related response plans; fluctuations in COVID-19 cases in the United States and the extent that geography of outbreak primarily matches the regions in which the Company’s Building Materials business principally operates; the resiliency and potential declines of the Company’s various construction end-use markets; the potential negative impact of the COVID-19 pandemic on the Company’s ability to continue supplying heavy-side building materials and related services at normal levels or at all in the Company’s key regions; the duration, impact and severity of the impact of the COVID-19 pandemic on the Company, including the markets in which the Company does business, its suppliers, customers or other business partners as well as the Company’s employees; the economic impact of government responses to the pandemic; the performance of the United States economy, including the impact on the economy of the COVID-19 pandemic and governmental orders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31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March 31,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2021</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restricting activities imposed to prevent further outbreak of COVID-19; shipment declines resulting from economic events beyond the Company’s control; a widespread decline in aggregates pricing, including a decline in aggregates shipment volume negatively affecting aggregates price; the history of both cement and ready mixed concrete being subject to significant changes in supply, demand and price fluctuations; the termination, capping and/or reduction or suspension of the federal and/or state gasoline tax(es) or other revenue related to public construction; the level and timing of federal, state or local transportation or infrastructure or public projects funding, most particularly in Texas, Colorado, North Carolina, Georgia, Iowa and Maryland; the impact of governmental orders restricting activities imposed to prevent further outbreak of COVID-19 on travel, potentially reducing state fuel tax revenues used to fund highway projects; the United States Congress’ inability to reach agreement among themselves or with the Administration on policy issues that impact the federal budget; the ability of states and/or other entities to finance approved projects either with tax revenues or alternative financing structures; levels of construction spending in the markets the Company serves; a reduction in defense spending and the subsequent impact on construction activity on or near military bases; a decline in the commercial component of the nonresidential construction market, notably office and retail space, including a decline resulting from economic distress related to the COVID-19 pandemic; a decline in energy-related construction activity resulting from a sustained period of low global oil prices or changes in oil production patterns or capital spending in response to this decline, particularly in Texas; increasing residential mortgage rates and other factors that could result in a slowdown in residential construction; unfavorable weather conditions, particularly Atlantic Ocean and Gulf of Mexico hurricane activity, the late start to spring or the early onset of winter and the impact of a drought or excessive rainfall in the markets served by the Company, any of which can significantly affect production schedules, volumes, product and/or geographic mix and profitability; whether the Company’s operations will continue to be treated as “essential” operations under applicable government orders restricting business activities imposed to prevent further outbreak of COVID-19 or, even if so treated, whether site-specific health and safety concerns might otherwise require certain of the Company’s operations to be halted for some period of time; the volatility of fuel costs, particularly diesel fuel, and the impact on the cost, or the availability generally, of other consumables, namely steel, explosives, tires and conveyor belts, and with respect to the Company’s Magnesia Specialties business, natural gas; continued increases in the cost of other repair and supply parts; construction labor shortages and/or supply</w:t>
      </w:r>
      <w:r>
        <w:rPr>
          <w:rFonts w:ascii="MS PGothic" w:cs="MS PGothic" w:eastAsia="MS PGothic" w:hAnsi="MS PGothic"/>
          <w:sz w:val="18"/>
          <w:szCs w:val="18"/>
          <w:color w:val="auto"/>
        </w:rPr>
        <w:t>‐</w:t>
      </w:r>
      <w:r>
        <w:rPr>
          <w:rFonts w:ascii="Arial" w:cs="Arial" w:eastAsia="Arial" w:hAnsi="Arial"/>
          <w:sz w:val="18"/>
          <w:szCs w:val="18"/>
          <w:color w:val="auto"/>
        </w:rPr>
        <w:t xml:space="preserve"> chain challenges; unexpected equipment failures, unscheduled maintenance, industrial accident or other prolonged and/or significant disruption to production facilities; increasing governmental regulation, including environmental laws; the failure of relevant government agencies to implement expected regulatory reductions; transportation availability or a sustained reduction in capital investment by the railroads, notably the availability of railcars, locomotive power and the condition of rail infrastructure to move trains to supply the Company’s Texas, Colorado, Florida, Carolinas and the Gulf Coast markets, including the movement of essential dolomitic lime for magnesia chemicals to the Company’s plant in Manistee, Michigan and its customers; increased transportation costs, including increases from higher or fluctuating passed-through energy costs or fuel surcharges, and other costs to comply with tightening regulations, as well as higher volumes of rail and water shipments (leading to reduced profit margins when compared with aggregates moved by truck); availability of trucks and licensed drivers for transport of the Company’s materials; availability and cost of construction equipment in the United States; weakening in the steel industry markets served by the Company’s dolomitic lime products; trade disputes with one or more nations impacting the U.S. economy, including the impact of tariffs on the steel industry; unplanned changes in costs or realignment of customers that introduce volatility to earnings, including the Magnesia Specialties business; proper functioning of information technology and automated operating systems to manage or support operations; inflation and its effect on both production and interest costs; the concentration of customers in construction markets and the increased risk of potential losses on customer receivables; the impact of the level of demand in the Company’s end-use markets, production levels and management of production costs on the operating leverage and therefore profitability of the Company; the possibility that the expected synergies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32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March 31, 2021</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RESULTS OF OPERATIONS</w:t>
      </w:r>
    </w:p>
    <w:p>
      <w:pPr>
        <w:jc w:val="center"/>
        <w:ind w:right="-19"/>
        <w:spacing w:after="0"/>
        <w:rPr>
          <w:sz w:val="20"/>
          <w:szCs w:val="20"/>
          <w:color w:val="auto"/>
        </w:rPr>
      </w:pPr>
      <w:r>
        <w:rPr>
          <w:rFonts w:ascii="Arial" w:cs="Arial" w:eastAsia="Arial" w:hAnsi="Arial"/>
          <w:sz w:val="20"/>
          <w:szCs w:val="20"/>
          <w:color w:val="auto"/>
        </w:rPr>
        <w:t>First Quarter Ended March 31, 2021</w:t>
      </w:r>
    </w:p>
    <w:p>
      <w:pPr>
        <w:jc w:val="center"/>
        <w:ind w:right="-19"/>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from acquisitions will not be realized or will not be realized within the expected time period, including achieving anticipated profitability to maintain compliance with the Company’s leverage ratio debt covenant; changes in tax laws, the interpretation of such laws and/or administrative practices that would increase the Company’s tax rate; violation of the Company’s debt covenant if price and/or volumes return to previous levels of instability; downward pressure on the Company’s common stock price and its impact on goodwill impairment evaluations; the possibility of a reduction of the Company’s credit rating to non-investment grade; and other risk factors listed from time to time found in the Company’s filings with the SEC.</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You should consider these forward-looking statements in light of risk factors discussed in the Company’s Annual Report on Form 10-K for the year ended December 31, 2020 and other periodic filings made with the SEC. All of the Company’s forward-looking statements should be considered in light of these factors. In addition, other risks and uncertainties not presently known to the Company or that the Company considers immaterial could affect the accuracy of its forward-looking statements, or adversely affect or be material to the Company. The Company assumes no obligation to update any such forward-looking statements.</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Shareholders may obtain, without charge, a copy of Martin Marietta’s Annual Report on Form 10-K, as filed with the Securities and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Exchange Commission for the fiscal year ended December 31, 2020, by writing to:</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Attn: Corporate Secretary</w:t>
      </w:r>
    </w:p>
    <w:p>
      <w:pPr>
        <w:ind w:left="260"/>
        <w:spacing w:after="0"/>
        <w:rPr>
          <w:sz w:val="20"/>
          <w:szCs w:val="20"/>
          <w:color w:val="auto"/>
        </w:rPr>
      </w:pPr>
      <w:r>
        <w:rPr>
          <w:rFonts w:ascii="Arial" w:cs="Arial" w:eastAsia="Arial" w:hAnsi="Arial"/>
          <w:sz w:val="20"/>
          <w:szCs w:val="20"/>
          <w:color w:val="auto"/>
        </w:rPr>
        <w:t>4123 Parklake Avenue</w:t>
      </w:r>
    </w:p>
    <w:p>
      <w:pPr>
        <w:ind w:left="260"/>
        <w:spacing w:after="0"/>
        <w:rPr>
          <w:sz w:val="20"/>
          <w:szCs w:val="20"/>
          <w:color w:val="auto"/>
        </w:rPr>
      </w:pPr>
      <w:r>
        <w:rPr>
          <w:rFonts w:ascii="Arial" w:cs="Arial" w:eastAsia="Arial" w:hAnsi="Arial"/>
          <w:sz w:val="20"/>
          <w:szCs w:val="20"/>
          <w:color w:val="auto"/>
        </w:rPr>
        <w:t>Raleigh, North Carolina 27612</w:t>
      </w:r>
    </w:p>
    <w:p>
      <w:pPr>
        <w:spacing w:after="0" w:line="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783-4691</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Information included on the Company’s website is not incorporated into, or otherwise create a part of, this report.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33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2021</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COVID-19 pandemic continues to impact the global and domestic economy. The Company’s operations have to date been considered “essential” operations under applicable governmental orders that restrict activities in an effort to prevent further outbreak of COVID-19. As such, the Company is conducting business with certain modifications, including having non-operational personnel working remotely; limiting site access to necessary employees and critical third parties; engaging medical experts to screen those who may have had COVID-19 exposure before allowing access to sites; enhancing the cleaning and disinfection of equipment and common areas, including engaging third-party specialists to disinfect work spaces; and issuing a quarantine policy requiring employees with COVID-19 symptoms to stay home for at least 14 days, among other things. The Company continues to actively monitor the situation and may take further actions that alter its business operations including any that may be required by federal, state or local authorities or that the Company determines are in the best interests of its employees, customers, suppliers, vendors, communities and other stakeholders.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Demand for aggregates products, particularly in the infrastructure construction market, is affected by federal, state and local budget and deficit issues. Remote working and stay-at-home orders and other guidelines are reducing miles driven, which is having a negative impact on various revenue streams that fund roadway projects. Further, delays or cancellations of projects in the nonresidential and residential construction markets could occur if companies and consumers are unable to obtain financing for construction projects or if consumer confidence continues to be eroded by economic uncertainty. The residential construction market accounted for 24% of the Company’s aggregates shipments in 2020 and 27% in the first three months of 2021.</w:t>
      </w:r>
    </w:p>
    <w:p>
      <w:pPr>
        <w:spacing w:after="0" w:line="70"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The Company’s operations are highly dependent upon the interest rate-sensitive construction and steelmaking industries. Consequently, these marketplaces could experience lower levels of economic activity in an environment of rising interest rates or escalating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Aside from these inherent risks from within its operations, the Company’s earnings are also affected by changes in short-term interest rates.</w:t>
      </w:r>
    </w:p>
    <w:p>
      <w:pPr>
        <w:spacing w:after="0" w:line="131"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i w:val="1"/>
          <w:iCs w:val="1"/>
          <w:color w:val="auto"/>
        </w:rPr>
        <w:t xml:space="preserve">Variable-Rate Borrowing Facilities. </w:t>
      </w:r>
      <w:r>
        <w:rPr>
          <w:rFonts w:ascii="Arial" w:cs="Arial" w:eastAsia="Arial" w:hAnsi="Arial"/>
          <w:sz w:val="20"/>
          <w:szCs w:val="20"/>
          <w:color w:val="auto"/>
        </w:rPr>
        <w:t>At March 31, 2021, the Company had a $700 million Revolving Facility and a $400 million Trade</w:t>
      </w:r>
      <w:r>
        <w:rPr>
          <w:rFonts w:ascii="Arial" w:cs="Arial" w:eastAsia="Arial" w:hAnsi="Arial"/>
          <w:sz w:val="20"/>
          <w:szCs w:val="20"/>
          <w:i w:val="1"/>
          <w:iCs w:val="1"/>
          <w:color w:val="auto"/>
        </w:rPr>
        <w:t xml:space="preserve"> </w:t>
      </w:r>
      <w:r>
        <w:rPr>
          <w:rFonts w:ascii="Arial" w:cs="Arial" w:eastAsia="Arial" w:hAnsi="Arial"/>
          <w:sz w:val="20"/>
          <w:szCs w:val="20"/>
          <w:color w:val="auto"/>
        </w:rPr>
        <w:t>Receivable Facility. Borrowings under these facilities bear interest at a variable interest rate. There were no borrowings outstanding on either facility at March 31, 2021.</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Pension Expense. </w:t>
      </w:r>
      <w:r>
        <w:rPr>
          <w:rFonts w:ascii="Arial" w:cs="Arial" w:eastAsia="Arial" w:hAnsi="Arial"/>
          <w:sz w:val="18"/>
          <w:szCs w:val="18"/>
          <w:color w:val="auto"/>
        </w:rPr>
        <w:t>The Company’s results of operations are affected by its pension expense. Assumptions that affect pension expense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2020. As of March 31, 2021, discount rates were approximately 70 basis points higher than the rate selected as of December 31, 2020, the most recent measurement date. Unless an event requires an interim remeasurement, the Company will next remeasure its pension obligation and funded status as of December 31, 2021. Changes in the discount rate and pension asset values will impact 2022 pension expense.</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Energy Costs</w:t>
      </w:r>
      <w:r>
        <w:rPr>
          <w:rFonts w:ascii="Arial" w:cs="Arial" w:eastAsia="Arial" w:hAnsi="Arial"/>
          <w:sz w:val="19"/>
          <w:szCs w:val="19"/>
          <w:color w:val="auto"/>
        </w:rPr>
        <w:t>. Energy costs, including diesel fuel, natural gas, coal and liquid asphalt, represent significant production costs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The cement operations and Magnesia Specialties business have fixed price agreements covering a majority of their 2021 coal requirements. Energy expense for the three months ended March 31, 2021 decreased approximately 4% compared with the prior-year period, due to lower electricity, diesel and coal costs in 2021; however, any future energy prices cannot be reliably predicted. A hypothetical price change of 4%, which represents the quarter-over-quarter change in the Company’s energy expense, would change full year 2021 energy expense by $9 million as compared with 2020, assuming constant volumes.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2021</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i w:val="1"/>
          <w:iCs w:val="1"/>
          <w:color w:val="auto"/>
        </w:rPr>
        <w:t xml:space="preserve">Commodity Risk. </w:t>
      </w:r>
      <w:r>
        <w:rPr>
          <w:rFonts w:ascii="Arial" w:cs="Arial" w:eastAsia="Arial" w:hAnsi="Arial"/>
          <w:sz w:val="20"/>
          <w:szCs w:val="20"/>
          <w:color w:val="auto"/>
        </w:rPr>
        <w:t>Cement is a commodity, and competition is based principally on price, which is highly sensitive to changes in supply and</w:t>
      </w:r>
      <w:r>
        <w:rPr>
          <w:rFonts w:ascii="Arial" w:cs="Arial" w:eastAsia="Arial" w:hAnsi="Arial"/>
          <w:sz w:val="20"/>
          <w:szCs w:val="20"/>
          <w:i w:val="1"/>
          <w:iCs w:val="1"/>
          <w:color w:val="auto"/>
        </w:rPr>
        <w:t xml:space="preserve"> </w:t>
      </w:r>
      <w:r>
        <w:rPr>
          <w:rFonts w:ascii="Arial" w:cs="Arial" w:eastAsia="Arial" w:hAnsi="Arial"/>
          <w:sz w:val="20"/>
          <w:szCs w:val="20"/>
          <w:color w:val="auto"/>
        </w:rPr>
        <w:t>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Company’s business, financial condition and results of operations. Assuming full year 2020 cement product revenues of $453 million, a hypothetical 10% change in sales price would impact cement product revenues by $45.3 million.</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Cement is a key raw material in the production of ready mixed concrete. The Company may be unable to pass along increases in the costs of cement and raw materials to customers in the form of price increases for the Company’s products. A hypothetical 10% change in cement costs in 2021 compared with 2020, assuming constant volumes, would change the ready mixed concrete product line cost of revenues by $25.5 million. While increases in cement pricing may negatively impact the profitability of the ready mixed concrete operations, the cement business would benefit, although the positive impact may not reflect a direct correlation to the impact on the ready mix business.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Evaluation of Disclosure Controls and Procedures. </w:t>
      </w:r>
      <w:r>
        <w:rPr>
          <w:rFonts w:ascii="Arial" w:cs="Arial" w:eastAsia="Arial" w:hAnsi="Arial"/>
          <w:sz w:val="20"/>
          <w:szCs w:val="20"/>
          <w:color w:val="auto"/>
        </w:rPr>
        <w:t>As of March 31, 2021, an evaluation was performed under the supervision and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March 31, 2021. There were no changes in the Company’s internal control over financial reporting during the most recently completed fiscal quarter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35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08" w:lineRule="exact"/>
        <w:rPr>
          <w:sz w:val="20"/>
          <w:szCs w:val="20"/>
          <w:color w:val="auto"/>
        </w:rPr>
      </w:pPr>
    </w:p>
    <w:p>
      <w:pPr>
        <w:jc w:val="both"/>
        <w:spacing w:after="0" w:line="250" w:lineRule="auto"/>
        <w:rPr>
          <w:rFonts w:ascii="Arial" w:cs="Arial" w:eastAsia="Arial" w:hAnsi="Arial"/>
          <w:sz w:val="20"/>
          <w:szCs w:val="20"/>
          <w:i w:val="1"/>
          <w:iCs w:val="1"/>
          <w:color w:val="0000EE"/>
        </w:rPr>
      </w:pPr>
      <w:r>
        <w:rPr>
          <w:rFonts w:ascii="Arial" w:cs="Arial" w:eastAsia="Arial" w:hAnsi="Arial"/>
          <w:sz w:val="20"/>
          <w:szCs w:val="20"/>
          <w:color w:val="auto"/>
        </w:rPr>
        <w:t xml:space="preserve">Certain legal proceedings in which the Company is involved are discussed in Note O to the consolidated financial statements and </w:t>
      </w:r>
      <w:r>
        <w:rPr>
          <w:rFonts w:ascii="Arial" w:cs="Arial" w:eastAsia="Arial" w:hAnsi="Arial"/>
          <w:sz w:val="20"/>
          <w:szCs w:val="20"/>
          <w:i w:val="1"/>
          <w:iCs w:val="1"/>
          <w:color w:val="auto"/>
        </w:rPr>
        <w:t>Part I, Item</w:t>
      </w:r>
      <w:r>
        <w:rPr>
          <w:rFonts w:ascii="Arial" w:cs="Arial" w:eastAsia="Arial" w:hAnsi="Arial"/>
          <w:sz w:val="20"/>
          <w:szCs w:val="20"/>
          <w:color w:val="auto"/>
        </w:rPr>
        <w:t xml:space="preserve"> </w:t>
      </w:r>
      <w:hyperlink w:anchor="page16">
        <w:r>
          <w:rPr>
            <w:rFonts w:ascii="Arial" w:cs="Arial" w:eastAsia="Arial" w:hAnsi="Arial"/>
            <w:sz w:val="20"/>
            <w:szCs w:val="20"/>
            <w:i w:val="1"/>
            <w:iCs w:val="1"/>
            <w:color w:val="auto"/>
          </w:rPr>
          <w:t xml:space="preserve">3 </w:t>
        </w:r>
        <w:r>
          <w:rPr>
            <w:rFonts w:ascii="Arial" w:cs="Arial" w:eastAsia="Arial" w:hAnsi="Arial"/>
            <w:sz w:val="20"/>
            <w:szCs w:val="20"/>
            <w:color w:val="auto"/>
          </w:rPr>
          <w:t>of the Company’s Annual Report on Form 10-K for the year ended December 31, 2020. See also</w:t>
        </w:r>
        <w:r>
          <w:rPr>
            <w:rFonts w:ascii="Arial" w:cs="Arial" w:eastAsia="Arial" w:hAnsi="Arial"/>
            <w:sz w:val="20"/>
            <w:szCs w:val="20"/>
            <w:i w:val="1"/>
            <w:iCs w:val="1"/>
            <w:color w:val="auto"/>
          </w:rPr>
          <w:t xml:space="preserve"> </w:t>
        </w:r>
        <w:r>
          <w:rPr>
            <w:rFonts w:ascii="Arial" w:cs="Arial" w:eastAsia="Arial" w:hAnsi="Arial"/>
            <w:sz w:val="20"/>
            <w:szCs w:val="20"/>
            <w:i w:val="1"/>
            <w:iCs w:val="1"/>
            <w:u w:val="single" w:color="auto"/>
            <w:color w:val="0000EE"/>
          </w:rPr>
          <w:t>Note 8 Commitments and Contingencies,</w:t>
        </w:r>
      </w:hyperlink>
      <w:r>
        <w:rPr>
          <w:rFonts w:ascii="Arial" w:cs="Arial" w:eastAsia="Arial" w:hAnsi="Arial"/>
          <w:sz w:val="20"/>
          <w:szCs w:val="20"/>
          <w:i w:val="1"/>
          <w:iCs w:val="1"/>
          <w:color w:val="auto"/>
        </w:rPr>
        <w:t xml:space="preserve"> </w:t>
      </w:r>
      <w:hyperlink w:anchor="page16">
        <w:r>
          <w:rPr>
            <w:rFonts w:ascii="Arial" w:cs="Arial" w:eastAsia="Arial" w:hAnsi="Arial"/>
            <w:sz w:val="20"/>
            <w:szCs w:val="20"/>
            <w:i w:val="1"/>
            <w:iCs w:val="1"/>
            <w:u w:val="single" w:color="auto"/>
            <w:color w:val="0000EE"/>
          </w:rPr>
          <w:t>Legal and Administrative Proceedings</w:t>
        </w:r>
        <w:r>
          <w:rPr>
            <w:rFonts w:ascii="Arial" w:cs="Arial" w:eastAsia="Arial" w:hAnsi="Arial"/>
            <w:sz w:val="20"/>
            <w:szCs w:val="20"/>
            <w:i w:val="1"/>
            <w:iCs w:val="1"/>
            <w:color w:val="000000"/>
          </w:rPr>
          <w:t>,</w:t>
        </w:r>
        <w:r>
          <w:rPr>
            <w:rFonts w:ascii="Arial" w:cs="Arial" w:eastAsia="Arial" w:hAnsi="Arial"/>
            <w:sz w:val="20"/>
            <w:szCs w:val="20"/>
            <w:i w:val="1"/>
            <w:iCs w:val="1"/>
            <w:color w:val="0000EE"/>
          </w:rPr>
          <w:t xml:space="preserve"> </w:t>
        </w:r>
        <w:r>
          <w:rPr>
            <w:rFonts w:ascii="Arial" w:cs="Arial" w:eastAsia="Arial" w:hAnsi="Arial"/>
            <w:sz w:val="20"/>
            <w:szCs w:val="20"/>
            <w:color w:val="000000"/>
          </w:rPr>
          <w:t>of this Form 10-Q.</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 Item 1A. Risk Factors and Forward-Looking Statements</w:t>
      </w:r>
      <w:r>
        <w:rPr>
          <w:rFonts w:ascii="Arial" w:cs="Arial" w:eastAsia="Arial" w:hAnsi="Arial"/>
          <w:sz w:val="20"/>
          <w:szCs w:val="20"/>
          <w:color w:val="auto"/>
        </w:rPr>
        <w:t xml:space="preserve"> of the Martin Marietta Annual Report on Form 10-K for the year ended December 31, 2020.</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r>
        <w:rPr>
          <w:rFonts w:ascii="Arial" w:cs="Arial" w:eastAsia="Arial" w:hAnsi="Arial"/>
          <w:sz w:val="20"/>
          <w:szCs w:val="20"/>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w w:val="88"/>
              </w:rPr>
              <w:t>Total Number of Shares</w:t>
            </w:r>
          </w:p>
        </w:tc>
        <w:tc>
          <w:tcPr>
            <w:tcW w:w="24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auto"/>
                <w:w w:val="92"/>
              </w:rPr>
              <w:t>Maximum Number of</w:t>
            </w:r>
          </w:p>
        </w:tc>
      </w:tr>
      <w:tr>
        <w:trPr>
          <w:trHeight w:val="243"/>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86"/>
              </w:rPr>
              <w:t>Purchased as Part of</w:t>
            </w:r>
          </w:p>
        </w:tc>
        <w:tc>
          <w:tcPr>
            <w:tcW w:w="24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Arial" w:cs="Arial" w:eastAsia="Arial" w:hAnsi="Arial"/>
                <w:sz w:val="20"/>
                <w:szCs w:val="20"/>
                <w:color w:val="auto"/>
                <w:w w:val="97"/>
              </w:rPr>
              <w:t>Shares that May Yet</w:t>
            </w:r>
          </w:p>
        </w:tc>
      </w:tr>
      <w:tr>
        <w:trPr>
          <w:trHeight w:val="243"/>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ind w:left="80"/>
              <w:spacing w:after="0"/>
              <w:rPr>
                <w:sz w:val="20"/>
                <w:szCs w:val="20"/>
                <w:color w:val="auto"/>
              </w:rPr>
            </w:pPr>
            <w:r>
              <w:rPr>
                <w:rFonts w:ascii="Arial" w:cs="Arial" w:eastAsia="Arial" w:hAnsi="Arial"/>
                <w:sz w:val="20"/>
                <w:szCs w:val="20"/>
                <w:color w:val="auto"/>
                <w:w w:val="97"/>
              </w:rPr>
              <w:t>Total Number of</w:t>
            </w:r>
          </w:p>
        </w:tc>
        <w:tc>
          <w:tcPr>
            <w:tcW w:w="240" w:type="dxa"/>
            <w:vAlign w:val="bottom"/>
          </w:tcPr>
          <w:p>
            <w:pPr>
              <w:spacing w:after="0"/>
              <w:rPr>
                <w:sz w:val="21"/>
                <w:szCs w:val="21"/>
                <w:color w:val="auto"/>
              </w:rPr>
            </w:pPr>
          </w:p>
        </w:tc>
        <w:tc>
          <w:tcPr>
            <w:tcW w:w="1420" w:type="dxa"/>
            <w:vAlign w:val="bottom"/>
            <w:gridSpan w:val="3"/>
          </w:tcPr>
          <w:p>
            <w:pPr>
              <w:ind w:left="40"/>
              <w:spacing w:after="0"/>
              <w:rPr>
                <w:sz w:val="20"/>
                <w:szCs w:val="20"/>
                <w:color w:val="auto"/>
              </w:rPr>
            </w:pPr>
            <w:r>
              <w:rPr>
                <w:rFonts w:ascii="Arial" w:cs="Arial" w:eastAsia="Arial" w:hAnsi="Arial"/>
                <w:sz w:val="20"/>
                <w:szCs w:val="20"/>
                <w:color w:val="auto"/>
              </w:rPr>
              <w:t>Average Price</w:t>
            </w:r>
          </w:p>
        </w:tc>
        <w:tc>
          <w:tcPr>
            <w:tcW w:w="1900" w:type="dxa"/>
            <w:vAlign w:val="bottom"/>
          </w:tcPr>
          <w:p>
            <w:pPr>
              <w:jc w:val="center"/>
              <w:spacing w:after="0"/>
              <w:rPr>
                <w:sz w:val="20"/>
                <w:szCs w:val="20"/>
                <w:color w:val="auto"/>
              </w:rPr>
            </w:pPr>
            <w:r>
              <w:rPr>
                <w:rFonts w:ascii="Arial" w:cs="Arial" w:eastAsia="Arial" w:hAnsi="Arial"/>
                <w:sz w:val="20"/>
                <w:szCs w:val="20"/>
                <w:color w:val="auto"/>
                <w:w w:val="92"/>
              </w:rPr>
              <w:t>Publicly Announced</w:t>
            </w:r>
          </w:p>
        </w:tc>
        <w:tc>
          <w:tcPr>
            <w:tcW w:w="24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Arial" w:cs="Arial" w:eastAsia="Arial" w:hAnsi="Arial"/>
                <w:sz w:val="20"/>
                <w:szCs w:val="20"/>
                <w:color w:val="auto"/>
                <w:w w:val="95"/>
              </w:rPr>
              <w:t>be Purchased Under</w:t>
            </w:r>
          </w:p>
        </w:tc>
      </w:tr>
      <w:tr>
        <w:trPr>
          <w:trHeight w:val="246"/>
        </w:trPr>
        <w:tc>
          <w:tcPr>
            <w:tcW w:w="4080" w:type="dxa"/>
            <w:vAlign w:val="bottom"/>
            <w:gridSpan w:val="2"/>
          </w:tcPr>
          <w:p>
            <w:pPr>
              <w:ind w:left="1720"/>
              <w:spacing w:after="0"/>
              <w:rPr>
                <w:sz w:val="20"/>
                <w:szCs w:val="20"/>
                <w:color w:val="auto"/>
              </w:rPr>
            </w:pPr>
            <w:r>
              <w:rPr>
                <w:rFonts w:ascii="Arial" w:cs="Arial" w:eastAsia="Arial" w:hAnsi="Arial"/>
                <w:sz w:val="20"/>
                <w:szCs w:val="20"/>
                <w:color w:val="auto"/>
              </w:rPr>
              <w:t>Period</w:t>
            </w:r>
          </w:p>
        </w:tc>
        <w:tc>
          <w:tcPr>
            <w:tcW w:w="1500" w:type="dxa"/>
            <w:vAlign w:val="bottom"/>
          </w:tcPr>
          <w:p>
            <w:pPr>
              <w:ind w:left="40"/>
              <w:spacing w:after="0"/>
              <w:rPr>
                <w:sz w:val="20"/>
                <w:szCs w:val="20"/>
                <w:color w:val="auto"/>
              </w:rPr>
            </w:pPr>
            <w:r>
              <w:rPr>
                <w:rFonts w:ascii="Arial" w:cs="Arial" w:eastAsia="Arial" w:hAnsi="Arial"/>
                <w:sz w:val="20"/>
                <w:szCs w:val="20"/>
                <w:color w:val="auto"/>
                <w:w w:val="87"/>
              </w:rPr>
              <w:t>Shares Purchased</w:t>
            </w:r>
          </w:p>
        </w:tc>
        <w:tc>
          <w:tcPr>
            <w:tcW w:w="240" w:type="dxa"/>
            <w:vAlign w:val="bottom"/>
          </w:tcPr>
          <w:p>
            <w:pPr>
              <w:spacing w:after="0"/>
              <w:rPr>
                <w:sz w:val="21"/>
                <w:szCs w:val="21"/>
                <w:color w:val="auto"/>
              </w:rPr>
            </w:pPr>
          </w:p>
        </w:tc>
        <w:tc>
          <w:tcPr>
            <w:tcW w:w="1420" w:type="dxa"/>
            <w:vAlign w:val="bottom"/>
            <w:gridSpan w:val="3"/>
          </w:tcPr>
          <w:p>
            <w:pPr>
              <w:ind w:left="20"/>
              <w:spacing w:after="0"/>
              <w:rPr>
                <w:sz w:val="20"/>
                <w:szCs w:val="20"/>
                <w:color w:val="auto"/>
              </w:rPr>
            </w:pPr>
            <w:r>
              <w:rPr>
                <w:rFonts w:ascii="Arial" w:cs="Arial" w:eastAsia="Arial" w:hAnsi="Arial"/>
                <w:sz w:val="20"/>
                <w:szCs w:val="20"/>
                <w:color w:val="auto"/>
              </w:rPr>
              <w:t>Paid per Share</w:t>
            </w:r>
          </w:p>
        </w:tc>
        <w:tc>
          <w:tcPr>
            <w:tcW w:w="1900" w:type="dxa"/>
            <w:vAlign w:val="bottom"/>
          </w:tcPr>
          <w:p>
            <w:pPr>
              <w:jc w:val="center"/>
              <w:spacing w:after="0"/>
              <w:rPr>
                <w:sz w:val="20"/>
                <w:szCs w:val="20"/>
                <w:color w:val="auto"/>
              </w:rPr>
            </w:pPr>
            <w:r>
              <w:rPr>
                <w:rFonts w:ascii="Arial" w:cs="Arial" w:eastAsia="Arial" w:hAnsi="Arial"/>
                <w:sz w:val="20"/>
                <w:szCs w:val="20"/>
                <w:color w:val="auto"/>
                <w:w w:val="88"/>
              </w:rPr>
              <w:t>Plans or Programs</w:t>
            </w:r>
          </w:p>
        </w:tc>
        <w:tc>
          <w:tcPr>
            <w:tcW w:w="24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auto"/>
                <w:w w:val="86"/>
              </w:rPr>
              <w:t>the Plans or Programs</w:t>
            </w:r>
          </w:p>
        </w:tc>
      </w:tr>
      <w:tr>
        <w:trPr>
          <w:trHeight w:val="236"/>
        </w:trPr>
        <w:tc>
          <w:tcPr>
            <w:tcW w:w="39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January 1, 2021 - January 31, 2021</w:t>
            </w:r>
          </w:p>
        </w:tc>
        <w:tc>
          <w:tcPr>
            <w:tcW w:w="140" w:type="dxa"/>
            <w:vAlign w:val="bottom"/>
          </w:tcPr>
          <w:p>
            <w:pPr>
              <w:spacing w:after="0"/>
              <w:rPr>
                <w:sz w:val="20"/>
                <w:szCs w:val="20"/>
                <w:color w:val="auto"/>
              </w:rPr>
            </w:pPr>
          </w:p>
        </w:tc>
        <w:tc>
          <w:tcPr>
            <w:tcW w:w="1500" w:type="dxa"/>
            <w:vAlign w:val="bottom"/>
            <w:tcBorders>
              <w:top w:val="single" w:sz="8" w:color="auto"/>
            </w:tcBorders>
          </w:tcPr>
          <w:p>
            <w:pPr>
              <w:ind w:left="1300"/>
              <w:spacing w:after="0"/>
              <w:rPr>
                <w:sz w:val="20"/>
                <w:szCs w:val="20"/>
                <w:color w:val="auto"/>
              </w:rPr>
            </w:pPr>
            <w:r>
              <w:rPr>
                <w:rFonts w:ascii="Arial" w:cs="Arial" w:eastAsia="Arial" w:hAnsi="Arial"/>
                <w:sz w:val="20"/>
                <w:szCs w:val="20"/>
                <w:color w:val="auto"/>
                <w:w w:val="89"/>
              </w:rPr>
              <w:t>—</w:t>
            </w:r>
          </w:p>
        </w:tc>
        <w:tc>
          <w:tcPr>
            <w:tcW w:w="240" w:type="dxa"/>
            <w:vAlign w:val="bottom"/>
          </w:tcPr>
          <w:p>
            <w:pPr>
              <w:spacing w:after="0"/>
              <w:rPr>
                <w:sz w:val="20"/>
                <w:szCs w:val="20"/>
                <w:color w:val="auto"/>
              </w:rPr>
            </w:pPr>
          </w:p>
        </w:tc>
        <w:tc>
          <w:tcPr>
            <w:tcW w:w="540" w:type="dxa"/>
            <w:vAlign w:val="bottom"/>
            <w:tcBorders>
              <w:top w:val="single" w:sz="8" w:color="auto"/>
            </w:tcBorders>
          </w:tcPr>
          <w:p>
            <w:pPr>
              <w:jc w:val="right"/>
              <w:ind w:right="341"/>
              <w:spacing w:after="0"/>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tcBorders>
          </w:tcPr>
          <w:p>
            <w:pPr>
              <w:ind w:left="440"/>
              <w:spacing w:after="0"/>
              <w:rPr>
                <w:sz w:val="20"/>
                <w:szCs w:val="20"/>
                <w:color w:val="auto"/>
              </w:rPr>
            </w:pPr>
            <w:r>
              <w:rPr>
                <w:rFonts w:ascii="Arial" w:cs="Arial" w:eastAsia="Arial" w:hAnsi="Arial"/>
                <w:sz w:val="20"/>
                <w:szCs w:val="20"/>
                <w:color w:val="auto"/>
                <w:w w:val="99"/>
              </w:rPr>
              <w:t>—</w:t>
            </w:r>
          </w:p>
        </w:tc>
        <w:tc>
          <w:tcPr>
            <w:tcW w:w="220" w:type="dxa"/>
            <w:vAlign w:val="bottom"/>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13,520,952</w:t>
            </w:r>
          </w:p>
        </w:tc>
        <w:tc>
          <w:tcPr>
            <w:tcW w:w="100" w:type="dxa"/>
            <w:vAlign w:val="bottom"/>
          </w:tcPr>
          <w:p>
            <w:pPr>
              <w:spacing w:after="0"/>
              <w:rPr>
                <w:sz w:val="20"/>
                <w:szCs w:val="20"/>
                <w:color w:val="auto"/>
              </w:rPr>
            </w:pPr>
          </w:p>
        </w:tc>
      </w:tr>
      <w:tr>
        <w:trPr>
          <w:trHeight w:val="243"/>
        </w:trPr>
        <w:tc>
          <w:tcPr>
            <w:tcW w:w="40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February 1, 2021 - February 28, 2021</w:t>
            </w:r>
          </w:p>
        </w:tc>
        <w:tc>
          <w:tcPr>
            <w:tcW w:w="1500" w:type="dxa"/>
            <w:vAlign w:val="bottom"/>
            <w:shd w:val="clear" w:color="auto" w:fill="CFF0FC"/>
          </w:tcPr>
          <w:p>
            <w:pPr>
              <w:ind w:left="1300"/>
              <w:spacing w:after="0"/>
              <w:rPr>
                <w:sz w:val="20"/>
                <w:szCs w:val="20"/>
                <w:color w:val="auto"/>
              </w:rPr>
            </w:pPr>
            <w:r>
              <w:rPr>
                <w:rFonts w:ascii="Arial" w:cs="Arial" w:eastAsia="Arial" w:hAnsi="Arial"/>
                <w:sz w:val="20"/>
                <w:szCs w:val="20"/>
                <w:color w:val="auto"/>
                <w:w w:val="89"/>
              </w:rPr>
              <w:t>—</w:t>
            </w:r>
          </w:p>
        </w:tc>
        <w:tc>
          <w:tcPr>
            <w:tcW w:w="780" w:type="dxa"/>
            <w:vAlign w:val="bottom"/>
            <w:gridSpan w:val="2"/>
            <w:shd w:val="clear" w:color="auto" w:fill="CFF0FC"/>
          </w:tcPr>
          <w:p>
            <w:pPr>
              <w:jc w:val="right"/>
              <w:ind w:right="341"/>
              <w:spacing w:after="0"/>
              <w:rPr>
                <w:sz w:val="20"/>
                <w:szCs w:val="20"/>
                <w:color w:val="auto"/>
              </w:rPr>
            </w:pPr>
            <w:r>
              <w:rPr>
                <w:rFonts w:ascii="Arial" w:cs="Arial" w:eastAsia="Arial" w:hAnsi="Arial"/>
                <w:sz w:val="20"/>
                <w:szCs w:val="20"/>
                <w:color w:val="auto"/>
              </w:rPr>
              <w:t>$</w:t>
            </w:r>
          </w:p>
        </w:tc>
        <w:tc>
          <w:tcPr>
            <w:tcW w:w="880" w:type="dxa"/>
            <w:vAlign w:val="bottom"/>
            <w:gridSpan w:val="2"/>
            <w:shd w:val="clear" w:color="auto" w:fill="CFF0FC"/>
          </w:tcPr>
          <w:p>
            <w:pPr>
              <w:ind w:left="440"/>
              <w:spacing w:after="0"/>
              <w:rPr>
                <w:sz w:val="20"/>
                <w:szCs w:val="20"/>
                <w:color w:val="auto"/>
              </w:rPr>
            </w:pPr>
            <w:r>
              <w:rPr>
                <w:rFonts w:ascii="Arial" w:cs="Arial" w:eastAsia="Arial" w:hAnsi="Arial"/>
                <w:sz w:val="20"/>
                <w:szCs w:val="20"/>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13,520,952</w:t>
            </w:r>
          </w:p>
        </w:tc>
        <w:tc>
          <w:tcPr>
            <w:tcW w:w="100" w:type="dxa"/>
            <w:vAlign w:val="bottom"/>
            <w:shd w:val="clear" w:color="auto" w:fill="CFF0FC"/>
          </w:tcPr>
          <w:p>
            <w:pPr>
              <w:spacing w:after="0"/>
              <w:rPr>
                <w:sz w:val="21"/>
                <w:szCs w:val="21"/>
                <w:color w:val="auto"/>
              </w:rPr>
            </w:pPr>
          </w:p>
        </w:tc>
      </w:tr>
      <w:tr>
        <w:trPr>
          <w:trHeight w:val="243"/>
        </w:trPr>
        <w:tc>
          <w:tcPr>
            <w:tcW w:w="4080" w:type="dxa"/>
            <w:vAlign w:val="bottom"/>
            <w:gridSpan w:val="2"/>
          </w:tcPr>
          <w:p>
            <w:pPr>
              <w:spacing w:after="0"/>
              <w:rPr>
                <w:sz w:val="20"/>
                <w:szCs w:val="20"/>
                <w:color w:val="auto"/>
              </w:rPr>
            </w:pPr>
            <w:r>
              <w:rPr>
                <w:rFonts w:ascii="Arial" w:cs="Arial" w:eastAsia="Arial" w:hAnsi="Arial"/>
                <w:sz w:val="20"/>
                <w:szCs w:val="20"/>
                <w:color w:val="auto"/>
              </w:rPr>
              <w:t>March 1, 2021 - March 31, 2021</w:t>
            </w:r>
          </w:p>
        </w:tc>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20"/>
                <w:szCs w:val="20"/>
                <w:color w:val="auto"/>
                <w:w w:val="89"/>
              </w:rPr>
              <w:t>—</w:t>
            </w:r>
          </w:p>
        </w:tc>
        <w:tc>
          <w:tcPr>
            <w:tcW w:w="780" w:type="dxa"/>
            <w:vAlign w:val="bottom"/>
            <w:gridSpan w:val="2"/>
          </w:tcPr>
          <w:p>
            <w:pPr>
              <w:jc w:val="right"/>
              <w:ind w:right="341"/>
              <w:spacing w:after="0"/>
              <w:rPr>
                <w:sz w:val="20"/>
                <w:szCs w:val="20"/>
                <w:color w:val="auto"/>
              </w:rPr>
            </w:pPr>
            <w:r>
              <w:rPr>
                <w:rFonts w:ascii="Arial" w:cs="Arial" w:eastAsia="Arial" w:hAnsi="Arial"/>
                <w:sz w:val="20"/>
                <w:szCs w:val="20"/>
                <w:color w:val="auto"/>
              </w:rPr>
              <w:t>$</w:t>
            </w:r>
          </w:p>
        </w:tc>
        <w:tc>
          <w:tcPr>
            <w:tcW w:w="880" w:type="dxa"/>
            <w:vAlign w:val="bottom"/>
            <w:gridSpan w:val="2"/>
          </w:tcPr>
          <w:p>
            <w:pPr>
              <w:ind w:left="440"/>
              <w:spacing w:after="0"/>
              <w:rPr>
                <w:sz w:val="20"/>
                <w:szCs w:val="20"/>
                <w:color w:val="auto"/>
              </w:rPr>
            </w:pPr>
            <w:r>
              <w:rPr>
                <w:rFonts w:ascii="Arial" w:cs="Arial" w:eastAsia="Arial" w:hAnsi="Arial"/>
                <w:sz w:val="20"/>
                <w:szCs w:val="20"/>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0" w:type="dxa"/>
            <w:vAlign w:val="bottom"/>
            <w:gridSpan w:val="2"/>
          </w:tcPr>
          <w:p>
            <w:pPr>
              <w:jc w:val="right"/>
              <w:spacing w:after="0"/>
              <w:rPr>
                <w:sz w:val="20"/>
                <w:szCs w:val="20"/>
                <w:color w:val="auto"/>
              </w:rPr>
            </w:pPr>
            <w:r>
              <w:rPr>
                <w:rFonts w:ascii="Arial" w:cs="Arial" w:eastAsia="Arial" w:hAnsi="Arial"/>
                <w:sz w:val="20"/>
                <w:szCs w:val="20"/>
                <w:color w:val="auto"/>
              </w:rPr>
              <w:t>13,520,952</w:t>
            </w:r>
          </w:p>
        </w:tc>
        <w:tc>
          <w:tcPr>
            <w:tcW w:w="100" w:type="dxa"/>
            <w:vAlign w:val="bottom"/>
          </w:tcPr>
          <w:p>
            <w:pPr>
              <w:spacing w:after="0"/>
              <w:rPr>
                <w:sz w:val="21"/>
                <w:szCs w:val="21"/>
                <w:color w:val="auto"/>
              </w:rPr>
            </w:pPr>
          </w:p>
        </w:tc>
      </w:tr>
      <w:tr>
        <w:trPr>
          <w:trHeight w:val="237"/>
        </w:trPr>
        <w:tc>
          <w:tcPr>
            <w:tcW w:w="4080" w:type="dxa"/>
            <w:vAlign w:val="bottom"/>
            <w:gridSpan w:val="2"/>
          </w:tcPr>
          <w:p>
            <w:pPr>
              <w:spacing w:after="0"/>
              <w:rPr>
                <w:sz w:val="20"/>
                <w:szCs w:val="20"/>
                <w:color w:val="auto"/>
              </w:rPr>
            </w:pPr>
            <w:r>
              <w:rPr>
                <w:rFonts w:ascii="Arial" w:cs="Arial" w:eastAsia="Arial" w:hAnsi="Arial"/>
                <w:sz w:val="20"/>
                <w:szCs w:val="20"/>
                <w:color w:val="auto"/>
              </w:rPr>
              <w:t>Total</w:t>
            </w:r>
          </w:p>
        </w:tc>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20"/>
                <w:szCs w:val="20"/>
                <w:color w:val="auto"/>
                <w:w w:val="89"/>
              </w:rPr>
              <w:t>—</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Reference is made to the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10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36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1"/>
        </w:trPr>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20" w:type="dxa"/>
            <w:vAlign w:val="bottom"/>
          </w:tcPr>
          <w:p>
            <w:pPr>
              <w:jc w:val="center"/>
              <w:ind w:right="1201"/>
              <w:spacing w:after="0"/>
              <w:rPr>
                <w:sz w:val="20"/>
                <w:szCs w:val="20"/>
                <w:color w:val="auto"/>
              </w:rPr>
            </w:pPr>
            <w:r>
              <w:rPr>
                <w:rFonts w:ascii="Arial" w:cs="Arial" w:eastAsia="Arial" w:hAnsi="Arial"/>
                <w:sz w:val="20"/>
                <w:szCs w:val="20"/>
                <w:color w:val="auto"/>
                <w:w w:val="97"/>
              </w:rPr>
              <w:t>MARTIN MARIETTA MATERIALS, INC. AND CONSOLIDATED SUBSIDIARIES</w:t>
            </w:r>
          </w:p>
        </w:tc>
      </w:tr>
      <w:tr>
        <w:trPr>
          <w:trHeight w:val="230"/>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20" w:type="dxa"/>
            <w:vAlign w:val="bottom"/>
          </w:tcPr>
          <w:p>
            <w:pPr>
              <w:jc w:val="center"/>
              <w:ind w:right="1201"/>
              <w:spacing w:after="0"/>
              <w:rPr>
                <w:sz w:val="20"/>
                <w:szCs w:val="20"/>
                <w:color w:val="auto"/>
              </w:rPr>
            </w:pPr>
            <w:r>
              <w:rPr>
                <w:rFonts w:ascii="Arial" w:cs="Arial" w:eastAsia="Arial" w:hAnsi="Arial"/>
                <w:sz w:val="20"/>
                <w:szCs w:val="20"/>
                <w:color w:val="auto"/>
                <w:w w:val="93"/>
              </w:rPr>
              <w:t>FORM 10-Q</w:t>
            </w:r>
          </w:p>
        </w:tc>
      </w:tr>
      <w:tr>
        <w:trPr>
          <w:trHeight w:val="250"/>
        </w:trPr>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920" w:type="dxa"/>
            <w:vAlign w:val="bottom"/>
          </w:tcPr>
          <w:p>
            <w:pPr>
              <w:jc w:val="center"/>
              <w:ind w:right="1221"/>
              <w:spacing w:after="0"/>
              <w:rPr>
                <w:sz w:val="20"/>
                <w:szCs w:val="20"/>
                <w:color w:val="auto"/>
              </w:rPr>
            </w:pPr>
            <w:r>
              <w:rPr>
                <w:rFonts w:ascii="Arial" w:cs="Arial" w:eastAsia="Arial" w:hAnsi="Arial"/>
                <w:sz w:val="20"/>
                <w:szCs w:val="20"/>
                <w:color w:val="auto"/>
                <w:w w:val="89"/>
              </w:rPr>
              <w:t>For the Quarter Ended March 31, 2021</w:t>
            </w:r>
          </w:p>
        </w:tc>
      </w:tr>
      <w:tr>
        <w:trPr>
          <w:trHeight w:val="425"/>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20" w:type="dxa"/>
            <w:vAlign w:val="bottom"/>
          </w:tcPr>
          <w:p>
            <w:pPr>
              <w:jc w:val="center"/>
              <w:ind w:right="1221"/>
              <w:spacing w:after="0"/>
              <w:rPr>
                <w:sz w:val="20"/>
                <w:szCs w:val="20"/>
                <w:color w:val="auto"/>
              </w:rPr>
            </w:pPr>
            <w:r>
              <w:rPr>
                <w:rFonts w:ascii="Arial" w:cs="Arial" w:eastAsia="Arial" w:hAnsi="Arial"/>
                <w:sz w:val="20"/>
                <w:szCs w:val="20"/>
                <w:color w:val="auto"/>
                <w:w w:val="95"/>
              </w:rPr>
              <w:t>PART II- OTHER INFORMATION</w:t>
            </w:r>
          </w:p>
        </w:tc>
      </w:tr>
      <w:tr>
        <w:trPr>
          <w:trHeight w:val="250"/>
        </w:trPr>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920" w:type="dxa"/>
            <w:vAlign w:val="bottom"/>
          </w:tcPr>
          <w:p>
            <w:pPr>
              <w:jc w:val="center"/>
              <w:ind w:right="1221"/>
              <w:spacing w:after="0"/>
              <w:rPr>
                <w:sz w:val="20"/>
                <w:szCs w:val="20"/>
                <w:color w:val="auto"/>
              </w:rPr>
            </w:pPr>
            <w:r>
              <w:rPr>
                <w:rFonts w:ascii="Arial" w:cs="Arial" w:eastAsia="Arial" w:hAnsi="Arial"/>
                <w:sz w:val="20"/>
                <w:szCs w:val="20"/>
                <w:color w:val="auto"/>
                <w:w w:val="91"/>
              </w:rPr>
              <w:t>(Continued)</w:t>
            </w:r>
          </w:p>
        </w:tc>
      </w:tr>
      <w:tr>
        <w:trPr>
          <w:trHeight w:val="333"/>
        </w:trPr>
        <w:tc>
          <w:tcPr>
            <w:tcW w:w="11240" w:type="dxa"/>
            <w:vAlign w:val="bottom"/>
            <w:gridSpan w:val="5"/>
          </w:tcPr>
          <w:p>
            <w:pPr>
              <w:spacing w:after="0"/>
              <w:rPr>
                <w:sz w:val="20"/>
                <w:szCs w:val="20"/>
                <w:color w:val="auto"/>
              </w:rPr>
            </w:pPr>
            <w:r>
              <w:rPr>
                <w:rFonts w:ascii="Arial" w:cs="Arial" w:eastAsia="Arial" w:hAnsi="Arial"/>
                <w:sz w:val="20"/>
                <w:szCs w:val="20"/>
                <w:color w:val="auto"/>
              </w:rPr>
              <w:t>Item 6. Exhibits.</w:t>
            </w:r>
          </w:p>
        </w:tc>
      </w:tr>
      <w:tr>
        <w:trPr>
          <w:trHeight w:val="480"/>
        </w:trPr>
        <w:tc>
          <w:tcPr>
            <w:tcW w:w="1160" w:type="dxa"/>
            <w:vAlign w:val="bottom"/>
            <w:tcBorders>
              <w:top w:val="single" w:sz="8" w:color="auto"/>
            </w:tcBorders>
            <w:gridSpan w:val="3"/>
          </w:tcPr>
          <w:p>
            <w:pPr>
              <w:ind w:left="60"/>
              <w:spacing w:after="0"/>
              <w:rPr>
                <w:sz w:val="20"/>
                <w:szCs w:val="20"/>
                <w:color w:val="auto"/>
              </w:rPr>
            </w:pPr>
            <w:r>
              <w:rPr>
                <w:rFonts w:ascii="Arial" w:cs="Arial" w:eastAsia="Arial" w:hAnsi="Arial"/>
                <w:sz w:val="20"/>
                <w:szCs w:val="20"/>
                <w:color w:val="auto"/>
              </w:rPr>
              <w:t>Exhibit No.</w:t>
            </w:r>
          </w:p>
        </w:tc>
        <w:tc>
          <w:tcPr>
            <w:tcW w:w="160" w:type="dxa"/>
            <w:vAlign w:val="bottom"/>
            <w:tcBorders>
              <w:top w:val="single" w:sz="8" w:color="auto"/>
            </w:tcBorders>
          </w:tcPr>
          <w:p>
            <w:pPr>
              <w:spacing w:after="0"/>
              <w:rPr>
                <w:sz w:val="24"/>
                <w:szCs w:val="24"/>
                <w:color w:val="auto"/>
              </w:rPr>
            </w:pPr>
          </w:p>
        </w:tc>
        <w:tc>
          <w:tcPr>
            <w:tcW w:w="9920" w:type="dxa"/>
            <w:vAlign w:val="bottom"/>
          </w:tcPr>
          <w:p>
            <w:pPr>
              <w:ind w:left="4480"/>
              <w:spacing w:after="0"/>
              <w:rPr>
                <w:sz w:val="20"/>
                <w:szCs w:val="20"/>
                <w:color w:val="auto"/>
              </w:rPr>
            </w:pPr>
            <w:r>
              <w:rPr>
                <w:rFonts w:ascii="Arial" w:cs="Arial" w:eastAsia="Arial" w:hAnsi="Arial"/>
                <w:sz w:val="20"/>
                <w:szCs w:val="20"/>
                <w:color w:val="auto"/>
              </w:rPr>
              <w:t>Document</w:t>
            </w:r>
          </w:p>
        </w:tc>
      </w:tr>
      <w:tr>
        <w:trPr>
          <w:trHeight w:val="304"/>
        </w:trPr>
        <w:tc>
          <w:tcPr>
            <w:tcW w:w="1040" w:type="dxa"/>
            <w:vAlign w:val="bottom"/>
            <w:tcBorders>
              <w:top w:val="single" w:sz="8" w:color="auto"/>
            </w:tcBorders>
            <w:gridSpan w:val="2"/>
          </w:tcPr>
          <w:p>
            <w:pPr>
              <w:spacing w:after="0"/>
              <w:rPr>
                <w:rFonts w:ascii="Arial" w:cs="Arial" w:eastAsia="Arial" w:hAnsi="Arial"/>
                <w:sz w:val="20"/>
                <w:szCs w:val="20"/>
                <w:color w:val="0000EE"/>
              </w:rPr>
            </w:pPr>
            <w:hyperlink w:anchor="page39">
              <w:r>
                <w:rPr>
                  <w:rFonts w:ascii="Arial" w:cs="Arial" w:eastAsia="Arial" w:hAnsi="Arial"/>
                  <w:sz w:val="20"/>
                  <w:szCs w:val="20"/>
                  <w:color w:val="0000EE"/>
                </w:rPr>
                <w:t>31.</w:t>
              </w:r>
              <w:r>
                <w:rPr>
                  <w:rFonts w:ascii="Arial" w:cs="Arial" w:eastAsia="Arial" w:hAnsi="Arial"/>
                  <w:sz w:val="20"/>
                  <w:szCs w:val="20"/>
                  <w:u w:val="single" w:color="auto"/>
                  <w:color w:val="0000EE"/>
                </w:rPr>
                <w:t>01</w:t>
              </w:r>
            </w:hyperlink>
          </w:p>
        </w:tc>
        <w:tc>
          <w:tcPr>
            <w:tcW w:w="120" w:type="dxa"/>
            <w:vAlign w:val="bottom"/>
          </w:tcPr>
          <w:p>
            <w:pPr>
              <w:spacing w:after="0"/>
              <w:rPr>
                <w:sz w:val="24"/>
                <w:szCs w:val="24"/>
                <w:color w:val="auto"/>
              </w:rPr>
            </w:pPr>
          </w:p>
        </w:tc>
        <w:tc>
          <w:tcPr>
            <w:tcW w:w="1008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w w:val="92"/>
              </w:rPr>
              <w:t>Certification dated May 4, 2021 of Chief Executive Officer pursuant to Securities and Exchange Act of 1934 Rule 13a-14 as</w:t>
            </w:r>
          </w:p>
        </w:tc>
      </w:tr>
      <w:tr>
        <w:trPr>
          <w:trHeight w:val="254"/>
        </w:trPr>
        <w:tc>
          <w:tcPr>
            <w:tcW w:w="460" w:type="dxa"/>
            <w:vAlign w:val="bottom"/>
            <w:tcBorders>
              <w:top w:val="single" w:sz="8" w:color="0000EE"/>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06"/>
        </w:trPr>
        <w:tc>
          <w:tcPr>
            <w:tcW w:w="1040" w:type="dxa"/>
            <w:vAlign w:val="bottom"/>
            <w:gridSpan w:val="2"/>
          </w:tcPr>
          <w:p>
            <w:pPr>
              <w:spacing w:after="0"/>
              <w:rPr>
                <w:rFonts w:ascii="Arial" w:cs="Arial" w:eastAsia="Arial" w:hAnsi="Arial"/>
                <w:sz w:val="20"/>
                <w:szCs w:val="20"/>
                <w:color w:val="0000EE"/>
              </w:rPr>
            </w:pPr>
            <w:hyperlink w:anchor="page41">
              <w:r>
                <w:rPr>
                  <w:rFonts w:ascii="Arial" w:cs="Arial" w:eastAsia="Arial" w:hAnsi="Arial"/>
                  <w:sz w:val="20"/>
                  <w:szCs w:val="20"/>
                  <w:color w:val="0000EE"/>
                </w:rPr>
                <w:t>31.</w:t>
              </w:r>
              <w:r>
                <w:rPr>
                  <w:rFonts w:ascii="Arial" w:cs="Arial" w:eastAsia="Arial" w:hAnsi="Arial"/>
                  <w:sz w:val="20"/>
                  <w:szCs w:val="20"/>
                  <w:u w:val="single" w:color="auto"/>
                  <w:color w:val="0000EE"/>
                </w:rPr>
                <w:t>02</w:t>
              </w:r>
            </w:hyperlink>
          </w:p>
        </w:tc>
        <w:tc>
          <w:tcPr>
            <w:tcW w:w="12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w w:val="93"/>
              </w:rPr>
              <w:t>Certification dated May 4, 2021 of Chief Financial Officer pursuant to Securities and Exchange Act of 1934 Rule 13a-14 as</w:t>
            </w:r>
          </w:p>
        </w:tc>
      </w:tr>
      <w:tr>
        <w:trPr>
          <w:trHeight w:val="254"/>
        </w:trPr>
        <w:tc>
          <w:tcPr>
            <w:tcW w:w="460" w:type="dxa"/>
            <w:vAlign w:val="bottom"/>
            <w:tcBorders>
              <w:top w:val="single" w:sz="8" w:color="0000EE"/>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07"/>
        </w:trPr>
        <w:tc>
          <w:tcPr>
            <w:tcW w:w="1040" w:type="dxa"/>
            <w:vAlign w:val="bottom"/>
            <w:gridSpan w:val="2"/>
          </w:tcPr>
          <w:p>
            <w:pPr>
              <w:spacing w:after="0"/>
              <w:rPr>
                <w:rFonts w:ascii="Arial" w:cs="Arial" w:eastAsia="Arial" w:hAnsi="Arial"/>
                <w:sz w:val="20"/>
                <w:szCs w:val="20"/>
                <w:color w:val="0000EE"/>
              </w:rPr>
            </w:pPr>
            <w:hyperlink w:anchor="page43">
              <w:r>
                <w:rPr>
                  <w:rFonts w:ascii="Arial" w:cs="Arial" w:eastAsia="Arial" w:hAnsi="Arial"/>
                  <w:sz w:val="20"/>
                  <w:szCs w:val="20"/>
                  <w:color w:val="0000EE"/>
                </w:rPr>
                <w:t>32.</w:t>
              </w:r>
              <w:r>
                <w:rPr>
                  <w:rFonts w:ascii="Arial" w:cs="Arial" w:eastAsia="Arial" w:hAnsi="Arial"/>
                  <w:sz w:val="20"/>
                  <w:szCs w:val="20"/>
                  <w:u w:val="single" w:color="auto"/>
                  <w:color w:val="0000EE"/>
                </w:rPr>
                <w:t>01</w:t>
              </w:r>
            </w:hyperlink>
          </w:p>
        </w:tc>
        <w:tc>
          <w:tcPr>
            <w:tcW w:w="12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w w:val="98"/>
              </w:rPr>
              <w:t>Written Statement dated May 4, 2021 of Chief Executive Officer required by 18 U.S.C. 1350, as adopted pursuant to</w:t>
            </w:r>
          </w:p>
        </w:tc>
      </w:tr>
      <w:tr>
        <w:trPr>
          <w:trHeight w:val="254"/>
        </w:trPr>
        <w:tc>
          <w:tcPr>
            <w:tcW w:w="460" w:type="dxa"/>
            <w:vAlign w:val="bottom"/>
            <w:tcBorders>
              <w:top w:val="single" w:sz="8" w:color="0000EE"/>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rPr>
              <w:t>Section 906 of the Sarbanes-Oxley Act of 2002</w:t>
            </w:r>
          </w:p>
        </w:tc>
      </w:tr>
      <w:tr>
        <w:trPr>
          <w:trHeight w:val="306"/>
        </w:trPr>
        <w:tc>
          <w:tcPr>
            <w:tcW w:w="1040" w:type="dxa"/>
            <w:vAlign w:val="bottom"/>
            <w:gridSpan w:val="2"/>
          </w:tcPr>
          <w:p>
            <w:pPr>
              <w:spacing w:after="0"/>
              <w:rPr>
                <w:rFonts w:ascii="Arial" w:cs="Arial" w:eastAsia="Arial" w:hAnsi="Arial"/>
                <w:sz w:val="20"/>
                <w:szCs w:val="20"/>
                <w:color w:val="0000EE"/>
              </w:rPr>
            </w:pPr>
            <w:hyperlink w:anchor="page44">
              <w:r>
                <w:rPr>
                  <w:rFonts w:ascii="Arial" w:cs="Arial" w:eastAsia="Arial" w:hAnsi="Arial"/>
                  <w:sz w:val="20"/>
                  <w:szCs w:val="20"/>
                  <w:color w:val="0000EE"/>
                </w:rPr>
                <w:t>32.</w:t>
              </w:r>
              <w:r>
                <w:rPr>
                  <w:rFonts w:ascii="Arial" w:cs="Arial" w:eastAsia="Arial" w:hAnsi="Arial"/>
                  <w:sz w:val="20"/>
                  <w:szCs w:val="20"/>
                  <w:u w:val="single" w:color="auto"/>
                  <w:color w:val="0000EE"/>
                </w:rPr>
                <w:t>02</w:t>
              </w:r>
            </w:hyperlink>
          </w:p>
        </w:tc>
        <w:tc>
          <w:tcPr>
            <w:tcW w:w="12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w w:val="98"/>
              </w:rPr>
              <w:t>Written Statement dated May 4, 2021 of Chief Financial Officer required by 18 U.S.C. 1350, as adopted pursuant to</w:t>
            </w:r>
          </w:p>
        </w:tc>
      </w:tr>
      <w:tr>
        <w:trPr>
          <w:trHeight w:val="254"/>
        </w:trPr>
        <w:tc>
          <w:tcPr>
            <w:tcW w:w="460" w:type="dxa"/>
            <w:vAlign w:val="bottom"/>
            <w:tcBorders>
              <w:top w:val="single" w:sz="8" w:color="0000EE"/>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rPr>
              <w:t>Section 906 of the Sarbanes-Oxley Act of 2002</w:t>
            </w:r>
          </w:p>
        </w:tc>
      </w:tr>
    </w:tbl>
    <w:p>
      <w:pPr>
        <w:spacing w:after="0" w:line="101" w:lineRule="exact"/>
        <w:rPr>
          <w:sz w:val="20"/>
          <w:szCs w:val="20"/>
          <w:color w:val="auto"/>
        </w:rPr>
      </w:pPr>
    </w:p>
    <w:p>
      <w:pPr>
        <w:ind w:left="1160" w:hanging="1152"/>
        <w:spacing w:after="0"/>
        <w:tabs>
          <w:tab w:leader="none" w:pos="1160" w:val="left"/>
        </w:tabs>
        <w:numPr>
          <w:ilvl w:val="0"/>
          <w:numId w:val="13"/>
        </w:numPr>
        <w:rPr>
          <w:rFonts w:ascii="Arial" w:cs="Arial" w:eastAsia="Arial" w:hAnsi="Arial"/>
          <w:sz w:val="20"/>
          <w:szCs w:val="20"/>
          <w:u w:val="single" w:color="auto"/>
          <w:color w:val="0000EE"/>
        </w:rPr>
      </w:pPr>
      <w:r>
        <w:rPr>
          <w:rFonts w:ascii="Arial" w:cs="Arial" w:eastAsia="Arial" w:hAnsi="Arial"/>
          <w:sz w:val="20"/>
          <w:szCs w:val="20"/>
          <w:color w:val="auto"/>
        </w:rPr>
        <w:t>Mine Safety Disclosures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20"/>
                <w:szCs w:val="20"/>
                <w:color w:val="auto"/>
              </w:rPr>
              <w:t>101.INS</w:t>
            </w:r>
          </w:p>
        </w:tc>
        <w:tc>
          <w:tcPr>
            <w:tcW w:w="10280" w:type="dxa"/>
            <w:vAlign w:val="bottom"/>
          </w:tcPr>
          <w:p>
            <w:pPr>
              <w:ind w:left="200"/>
              <w:spacing w:after="0"/>
              <w:rPr>
                <w:sz w:val="20"/>
                <w:szCs w:val="20"/>
                <w:color w:val="auto"/>
              </w:rPr>
            </w:pPr>
            <w:r>
              <w:rPr>
                <w:rFonts w:ascii="Arial" w:cs="Arial" w:eastAsia="Arial" w:hAnsi="Arial"/>
                <w:sz w:val="20"/>
                <w:szCs w:val="20"/>
                <w:color w:val="auto"/>
                <w:w w:val="90"/>
              </w:rPr>
              <w:t>Inline XBRL Instance Document – The instance document does not appear in the Interactive Data File because its XBRL tags</w:t>
            </w:r>
          </w:p>
        </w:tc>
      </w:tr>
      <w:tr>
        <w:trPr>
          <w:trHeight w:val="250"/>
        </w:trPr>
        <w:tc>
          <w:tcPr>
            <w:tcW w:w="960" w:type="dxa"/>
            <w:vAlign w:val="bottom"/>
          </w:tcPr>
          <w:p>
            <w:pPr>
              <w:spacing w:after="0"/>
              <w:rPr>
                <w:sz w:val="21"/>
                <w:szCs w:val="21"/>
                <w:color w:val="auto"/>
              </w:rPr>
            </w:pPr>
          </w:p>
        </w:tc>
        <w:tc>
          <w:tcPr>
            <w:tcW w:w="10280" w:type="dxa"/>
            <w:vAlign w:val="bottom"/>
          </w:tcPr>
          <w:p>
            <w:pPr>
              <w:ind w:left="200"/>
              <w:spacing w:after="0"/>
              <w:rPr>
                <w:sz w:val="20"/>
                <w:szCs w:val="20"/>
                <w:color w:val="auto"/>
              </w:rPr>
            </w:pPr>
            <w:r>
              <w:rPr>
                <w:rFonts w:ascii="Arial" w:cs="Arial" w:eastAsia="Arial" w:hAnsi="Arial"/>
                <w:sz w:val="20"/>
                <w:szCs w:val="20"/>
                <w:color w:val="auto"/>
              </w:rPr>
              <w:t>are embedded within the Inline XBRL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101.SCH</w:t>
            </w:r>
          </w:p>
        </w:tc>
        <w:tc>
          <w:tcPr>
            <w:tcW w:w="10280" w:type="dxa"/>
            <w:vAlign w:val="bottom"/>
          </w:tcPr>
          <w:p>
            <w:pPr>
              <w:ind w:left="200"/>
              <w:spacing w:after="0"/>
              <w:rPr>
                <w:sz w:val="20"/>
                <w:szCs w:val="20"/>
                <w:color w:val="auto"/>
              </w:rPr>
            </w:pPr>
            <w:r>
              <w:rPr>
                <w:rFonts w:ascii="Arial" w:cs="Arial" w:eastAsia="Arial" w:hAnsi="Arial"/>
                <w:sz w:val="20"/>
                <w:szCs w:val="20"/>
                <w:color w:val="auto"/>
              </w:rPr>
              <w:t>Inline XBRL Taxonomy Extension Schema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101.CAL</w:t>
            </w:r>
          </w:p>
        </w:tc>
        <w:tc>
          <w:tcPr>
            <w:tcW w:w="10280" w:type="dxa"/>
            <w:vAlign w:val="bottom"/>
          </w:tcPr>
          <w:p>
            <w:pPr>
              <w:ind w:left="200"/>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101.LAB</w:t>
            </w:r>
          </w:p>
        </w:tc>
        <w:tc>
          <w:tcPr>
            <w:tcW w:w="10280" w:type="dxa"/>
            <w:vAlign w:val="bottom"/>
          </w:tcPr>
          <w:p>
            <w:pPr>
              <w:ind w:left="200"/>
              <w:spacing w:after="0"/>
              <w:rPr>
                <w:sz w:val="20"/>
                <w:szCs w:val="20"/>
                <w:color w:val="auto"/>
              </w:rPr>
            </w:pPr>
            <w:r>
              <w:rPr>
                <w:rFonts w:ascii="Arial" w:cs="Arial" w:eastAsia="Arial" w:hAnsi="Arial"/>
                <w:sz w:val="20"/>
                <w:szCs w:val="20"/>
                <w:color w:val="auto"/>
              </w:rPr>
              <w:t>Inline XBRL Taxonomy Extension Label Linkbase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101.PRE</w:t>
            </w:r>
          </w:p>
        </w:tc>
        <w:tc>
          <w:tcPr>
            <w:tcW w:w="10280" w:type="dxa"/>
            <w:vAlign w:val="bottom"/>
          </w:tcPr>
          <w:p>
            <w:pPr>
              <w:ind w:left="200"/>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101.DEF</w:t>
            </w:r>
          </w:p>
        </w:tc>
        <w:tc>
          <w:tcPr>
            <w:tcW w:w="10280" w:type="dxa"/>
            <w:vAlign w:val="bottom"/>
          </w:tcPr>
          <w:p>
            <w:pPr>
              <w:ind w:left="200"/>
              <w:spacing w:after="0"/>
              <w:rPr>
                <w:sz w:val="20"/>
                <w:szCs w:val="20"/>
                <w:color w:val="auto"/>
              </w:rPr>
            </w:pPr>
            <w:r>
              <w:rPr>
                <w:rFonts w:ascii="Arial" w:cs="Arial" w:eastAsia="Arial" w:hAnsi="Arial"/>
                <w:sz w:val="20"/>
                <w:szCs w:val="20"/>
                <w:color w:val="auto"/>
              </w:rPr>
              <w:t>Inline XBRL Taxonomy Extension Definition Linkbase</w:t>
            </w:r>
          </w:p>
        </w:tc>
      </w:tr>
    </w:tbl>
    <w:p>
      <w:pPr>
        <w:spacing w:after="0" w:line="101" w:lineRule="exact"/>
        <w:rPr>
          <w:sz w:val="20"/>
          <w:szCs w:val="20"/>
          <w:color w:val="auto"/>
        </w:rPr>
      </w:pPr>
    </w:p>
    <w:p>
      <w:pPr>
        <w:ind w:left="1160" w:hanging="1152"/>
        <w:spacing w:after="0"/>
        <w:tabs>
          <w:tab w:leader="none" w:pos="11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33" w:lineRule="exact"/>
        <w:rPr>
          <w:rFonts w:ascii="Arial" w:cs="Arial" w:eastAsia="Arial" w:hAnsi="Arial"/>
          <w:sz w:val="20"/>
          <w:szCs w:val="20"/>
          <w:color w:val="auto"/>
        </w:rPr>
      </w:pPr>
    </w:p>
    <w:p>
      <w:pPr>
        <w:ind w:left="5080"/>
        <w:spacing w:after="0"/>
        <w:rPr>
          <w:rFonts w:ascii="Arial" w:cs="Arial" w:eastAsia="Arial" w:hAnsi="Arial"/>
          <w:sz w:val="20"/>
          <w:szCs w:val="20"/>
          <w:color w:val="auto"/>
        </w:rPr>
      </w:pPr>
      <w:r>
        <w:rPr>
          <w:rFonts w:ascii="Arial" w:cs="Arial" w:eastAsia="Arial" w:hAnsi="Arial"/>
          <w:sz w:val="20"/>
          <w:szCs w:val="20"/>
          <w:color w:val="auto"/>
        </w:rPr>
        <w:t>Page 37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MARTIN MARIETTA MATERIALS, INC.</w:t>
            </w:r>
          </w:p>
        </w:tc>
      </w:tr>
      <w:tr>
        <w:trPr>
          <w:trHeight w:val="250"/>
        </w:trPr>
        <w:tc>
          <w:tcPr>
            <w:tcW w:w="328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4140" w:type="dxa"/>
            <w:vAlign w:val="bottom"/>
          </w:tcPr>
          <w:p>
            <w:pPr>
              <w:jc w:val="center"/>
              <w:ind w:right="1901"/>
              <w:spacing w:after="0"/>
              <w:rPr>
                <w:sz w:val="20"/>
                <w:szCs w:val="20"/>
                <w:color w:val="auto"/>
              </w:rPr>
            </w:pPr>
            <w:r>
              <w:rPr>
                <w:rFonts w:ascii="Arial" w:cs="Arial" w:eastAsia="Arial" w:hAnsi="Arial"/>
                <w:sz w:val="20"/>
                <w:szCs w:val="20"/>
                <w:color w:val="auto"/>
                <w:w w:val="89"/>
              </w:rPr>
              <w:t>(Registrant)</w:t>
            </w:r>
          </w:p>
        </w:tc>
      </w:tr>
      <w:tr>
        <w:trPr>
          <w:trHeight w:val="455"/>
        </w:trPr>
        <w:tc>
          <w:tcPr>
            <w:tcW w:w="3280" w:type="dxa"/>
            <w:vAlign w:val="bottom"/>
          </w:tcPr>
          <w:p>
            <w:pPr>
              <w:spacing w:after="0"/>
              <w:rPr>
                <w:sz w:val="20"/>
                <w:szCs w:val="20"/>
                <w:color w:val="auto"/>
              </w:rPr>
            </w:pPr>
            <w:r>
              <w:rPr>
                <w:rFonts w:ascii="Arial" w:cs="Arial" w:eastAsia="Arial" w:hAnsi="Arial"/>
                <w:sz w:val="20"/>
                <w:szCs w:val="20"/>
                <w:color w:val="auto"/>
              </w:rPr>
              <w:t>Date: May 4, 2021</w:t>
            </w:r>
          </w:p>
        </w:tc>
        <w:tc>
          <w:tcPr>
            <w:tcW w:w="7960" w:type="dxa"/>
            <w:vAlign w:val="bottom"/>
            <w:gridSpan w:val="2"/>
          </w:tcPr>
          <w:p>
            <w:pPr>
              <w:ind w:left="3420"/>
              <w:spacing w:after="0"/>
              <w:rPr>
                <w:sz w:val="20"/>
                <w:szCs w:val="20"/>
                <w:color w:val="auto"/>
              </w:rPr>
            </w:pPr>
            <w:r>
              <w:rPr>
                <w:rFonts w:ascii="Arial" w:cs="Arial" w:eastAsia="Arial" w:hAnsi="Arial"/>
                <w:sz w:val="20"/>
                <w:szCs w:val="20"/>
                <w:color w:val="auto"/>
              </w:rPr>
              <w:t>By: /s/ James A. J. Nickolas</w:t>
            </w:r>
          </w:p>
        </w:tc>
      </w:tr>
      <w:tr>
        <w:trPr>
          <w:trHeight w:val="206"/>
        </w:trPr>
        <w:tc>
          <w:tcPr>
            <w:tcW w:w="32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41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James A. J. Nickolas</w:t>
            </w:r>
          </w:p>
        </w:tc>
      </w:tr>
      <w:tr>
        <w:trPr>
          <w:trHeight w:val="229"/>
        </w:trPr>
        <w:tc>
          <w:tcPr>
            <w:tcW w:w="32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Sr. Vice President and</w:t>
            </w:r>
          </w:p>
        </w:tc>
      </w:tr>
      <w:tr>
        <w:trPr>
          <w:trHeight w:val="250"/>
        </w:trPr>
        <w:tc>
          <w:tcPr>
            <w:tcW w:w="328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4140" w:type="dxa"/>
            <w:vAlign w:val="bottom"/>
          </w:tcPr>
          <w:p>
            <w:pPr>
              <w:jc w:val="center"/>
              <w:ind w:right="1881"/>
              <w:spacing w:after="0"/>
              <w:rPr>
                <w:sz w:val="20"/>
                <w:szCs w:val="20"/>
                <w:color w:val="auto"/>
              </w:rPr>
            </w:pPr>
            <w:r>
              <w:rPr>
                <w:rFonts w:ascii="Arial" w:cs="Arial" w:eastAsia="Arial" w:hAnsi="Arial"/>
                <w:sz w:val="20"/>
                <w:szCs w:val="20"/>
                <w:color w:val="auto"/>
                <w:w w:val="93"/>
              </w:rPr>
              <w:t>Chief Financial Officer</w:t>
            </w:r>
          </w:p>
        </w:tc>
      </w:tr>
      <w:tr>
        <w:trPr>
          <w:trHeight w:val="905"/>
        </w:trPr>
        <w:tc>
          <w:tcPr>
            <w:tcW w:w="3280" w:type="dxa"/>
            <w:vAlign w:val="bottom"/>
          </w:tcPr>
          <w:p>
            <w:pPr>
              <w:spacing w:after="0"/>
              <w:rPr>
                <w:sz w:val="24"/>
                <w:szCs w:val="24"/>
                <w:color w:val="auto"/>
              </w:rPr>
            </w:pPr>
          </w:p>
        </w:tc>
        <w:tc>
          <w:tcPr>
            <w:tcW w:w="7960" w:type="dxa"/>
            <w:vAlign w:val="bottom"/>
            <w:gridSpan w:val="2"/>
          </w:tcPr>
          <w:p>
            <w:pPr>
              <w:ind w:left="1800"/>
              <w:spacing w:after="0"/>
              <w:rPr>
                <w:sz w:val="20"/>
                <w:szCs w:val="20"/>
                <w:color w:val="auto"/>
              </w:rPr>
            </w:pPr>
            <w:r>
              <w:rPr>
                <w:rFonts w:ascii="Arial" w:cs="Arial" w:eastAsia="Arial" w:hAnsi="Arial"/>
                <w:sz w:val="20"/>
                <w:szCs w:val="20"/>
                <w:color w:val="auto"/>
              </w:rPr>
              <w:t>Page 38 of 38</w:t>
            </w:r>
          </w:p>
        </w:tc>
      </w:tr>
    </w:tbl>
    <w:p>
      <w:pPr>
        <w:sectPr>
          <w:pgSz w:w="11900" w:h="16838" w:orient="portrait"/>
          <w:cols w:equalWidth="0" w:num="1">
            <w:col w:w="11240"/>
          </w:cols>
          <w:pgMar w:left="320" w:top="56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86"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29" w:lineRule="exact"/>
        <w:rPr>
          <w:sz w:val="20"/>
          <w:szCs w:val="20"/>
          <w:color w:val="auto"/>
        </w:rPr>
      </w:pPr>
    </w:p>
    <w:p>
      <w:pPr>
        <w:ind w:left="1300" w:hanging="442"/>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42"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42"/>
        <w:spacing w:after="0" w:line="250" w:lineRule="auto"/>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470535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9" w:name="page40"/>
    <w:bookmarkEnd w:id="39"/>
    <w:p>
      <w:pPr>
        <w:spacing w:after="0" w:line="263" w:lineRule="exact"/>
        <w:rPr>
          <w:sz w:val="20"/>
          <w:szCs w:val="20"/>
          <w:color w:val="auto"/>
        </w:rPr>
      </w:pPr>
    </w:p>
    <w:p>
      <w:pPr>
        <w:jc w:val="both"/>
        <w:ind w:left="1300" w:hanging="442"/>
        <w:spacing w:after="0" w:line="250" w:lineRule="auto"/>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1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60" w:hanging="438"/>
        <w:spacing w:after="0" w:line="260" w:lineRule="auto"/>
        <w:tabs>
          <w:tab w:leader="none" w:pos="2160" w:val="left"/>
        </w:tabs>
        <w:numPr>
          <w:ilvl w:val="1"/>
          <w:numId w:val="1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40" w:type="dxa"/>
            <w:vAlign w:val="bottom"/>
          </w:tcPr>
          <w:p>
            <w:pPr>
              <w:spacing w:after="0"/>
              <w:rPr>
                <w:sz w:val="20"/>
                <w:szCs w:val="20"/>
                <w:color w:val="auto"/>
              </w:rPr>
            </w:pPr>
            <w:r>
              <w:rPr>
                <w:rFonts w:ascii="Arial" w:cs="Arial" w:eastAsia="Arial" w:hAnsi="Arial"/>
                <w:sz w:val="20"/>
                <w:szCs w:val="20"/>
                <w:color w:val="auto"/>
              </w:rPr>
              <w:t>Date: May 4, 2021</w:t>
            </w:r>
          </w:p>
        </w:tc>
        <w:tc>
          <w:tcPr>
            <w:tcW w:w="7100" w:type="dxa"/>
            <w:vAlign w:val="bottom"/>
            <w:gridSpan w:val="2"/>
          </w:tcPr>
          <w:p>
            <w:pPr>
              <w:ind w:left="2620"/>
              <w:spacing w:after="0"/>
              <w:rPr>
                <w:sz w:val="20"/>
                <w:szCs w:val="20"/>
                <w:color w:val="auto"/>
              </w:rPr>
            </w:pPr>
            <w:r>
              <w:rPr>
                <w:rFonts w:ascii="Arial" w:cs="Arial" w:eastAsia="Arial" w:hAnsi="Arial"/>
                <w:sz w:val="20"/>
                <w:szCs w:val="20"/>
                <w:color w:val="auto"/>
              </w:rPr>
              <w:t>By:  /s/ C. Howard Nye</w:t>
            </w:r>
          </w:p>
        </w:tc>
      </w:tr>
      <w:tr>
        <w:trPr>
          <w:trHeight w:val="206"/>
        </w:trPr>
        <w:tc>
          <w:tcPr>
            <w:tcW w:w="41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0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C. Howard Nye</w:t>
            </w:r>
          </w:p>
        </w:tc>
      </w:tr>
      <w:tr>
        <w:trPr>
          <w:trHeight w:val="230"/>
        </w:trPr>
        <w:tc>
          <w:tcPr>
            <w:tcW w:w="41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20"/>
                <w:szCs w:val="20"/>
                <w:color w:val="auto"/>
              </w:rPr>
              <w:t>Chairman, President and</w:t>
            </w:r>
          </w:p>
        </w:tc>
      </w:tr>
      <w:tr>
        <w:trPr>
          <w:trHeight w:val="250"/>
        </w:trPr>
        <w:tc>
          <w:tcPr>
            <w:tcW w:w="41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040" w:type="dxa"/>
            <w:vAlign w:val="bottom"/>
          </w:tcPr>
          <w:p>
            <w:pPr>
              <w:ind w:left="16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40"/>
          </w:cols>
          <w:pgMar w:left="320" w:top="144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86"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 James A. J. Nickolas, certify that:</w:t>
      </w:r>
    </w:p>
    <w:p>
      <w:pPr>
        <w:spacing w:after="0" w:line="229" w:lineRule="exact"/>
        <w:rPr>
          <w:sz w:val="20"/>
          <w:szCs w:val="20"/>
          <w:color w:val="auto"/>
        </w:rPr>
      </w:pPr>
    </w:p>
    <w:p>
      <w:pPr>
        <w:ind w:left="1300" w:hanging="442"/>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42"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42"/>
        <w:spacing w:after="0" w:line="250" w:lineRule="auto"/>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1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1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1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1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1" w:name="page42"/>
    <w:bookmarkEnd w:id="41"/>
    <w:p>
      <w:pPr>
        <w:spacing w:after="0" w:line="276" w:lineRule="exact"/>
        <w:rPr>
          <w:sz w:val="20"/>
          <w:szCs w:val="20"/>
          <w:color w:val="auto"/>
        </w:rPr>
      </w:pPr>
    </w:p>
    <w:p>
      <w:pPr>
        <w:jc w:val="both"/>
        <w:ind w:left="1300" w:hanging="442"/>
        <w:spacing w:after="0" w:line="250" w:lineRule="auto"/>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60" w:hanging="438"/>
        <w:spacing w:after="0" w:line="260" w:lineRule="auto"/>
        <w:tabs>
          <w:tab w:leader="none" w:pos="21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00" w:type="dxa"/>
            <w:vAlign w:val="bottom"/>
          </w:tcPr>
          <w:p>
            <w:pPr>
              <w:spacing w:after="0"/>
              <w:rPr>
                <w:sz w:val="20"/>
                <w:szCs w:val="20"/>
                <w:color w:val="auto"/>
              </w:rPr>
            </w:pPr>
            <w:r>
              <w:rPr>
                <w:rFonts w:ascii="Arial" w:cs="Arial" w:eastAsia="Arial" w:hAnsi="Arial"/>
                <w:sz w:val="20"/>
                <w:szCs w:val="20"/>
                <w:color w:val="auto"/>
              </w:rPr>
              <w:t>Date: May 4, 2021</w:t>
            </w:r>
          </w:p>
        </w:tc>
        <w:tc>
          <w:tcPr>
            <w:tcW w:w="7140" w:type="dxa"/>
            <w:vAlign w:val="bottom"/>
            <w:gridSpan w:val="2"/>
          </w:tcPr>
          <w:p>
            <w:pPr>
              <w:ind w:left="2640"/>
              <w:spacing w:after="0"/>
              <w:rPr>
                <w:sz w:val="20"/>
                <w:szCs w:val="20"/>
                <w:color w:val="auto"/>
              </w:rPr>
            </w:pPr>
            <w:r>
              <w:rPr>
                <w:rFonts w:ascii="Arial" w:cs="Arial" w:eastAsia="Arial" w:hAnsi="Arial"/>
                <w:sz w:val="20"/>
                <w:szCs w:val="20"/>
                <w:color w:val="auto"/>
              </w:rPr>
              <w:t>By:  /s/ James A. J. Nickolas</w:t>
            </w:r>
          </w:p>
        </w:tc>
      </w:tr>
      <w:tr>
        <w:trPr>
          <w:trHeight w:val="206"/>
        </w:trPr>
        <w:tc>
          <w:tcPr>
            <w:tcW w:w="4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0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James A. J. Nickolas</w:t>
            </w:r>
          </w:p>
        </w:tc>
      </w:tr>
      <w:tr>
        <w:trPr>
          <w:trHeight w:val="229"/>
        </w:trPr>
        <w:tc>
          <w:tcPr>
            <w:tcW w:w="4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20"/>
                <w:szCs w:val="20"/>
                <w:color w:val="auto"/>
              </w:rPr>
              <w:t>Sr. Vice President and</w:t>
            </w:r>
          </w:p>
        </w:tc>
      </w:tr>
      <w:tr>
        <w:trPr>
          <w:trHeight w:val="250"/>
        </w:trPr>
        <w:tc>
          <w:tcPr>
            <w:tcW w:w="4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060" w:type="dxa"/>
            <w:vAlign w:val="bottom"/>
          </w:tcPr>
          <w:p>
            <w:pPr>
              <w:ind w:left="14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40"/>
          </w:cols>
          <w:pgMar w:left="320" w:top="144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EXHIBIT 32.01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March 31, 2021 (the “Report”) of Martin Marietta Materials, Inc. (the “Registrant”), as filed with the Securities and Exchange Commission on the date hereof, I, C. Howard Nye, the Chief Executive Officer of the Registrant, certify, to the best of my knowledge, that:</w:t>
      </w:r>
    </w:p>
    <w:p>
      <w:pPr>
        <w:spacing w:after="0" w:line="199" w:lineRule="exact"/>
        <w:rPr>
          <w:sz w:val="20"/>
          <w:szCs w:val="20"/>
          <w:color w:val="auto"/>
        </w:rPr>
      </w:pPr>
    </w:p>
    <w:p>
      <w:pPr>
        <w:ind w:left="1700" w:hanging="842"/>
        <w:spacing w:after="0" w:line="260" w:lineRule="auto"/>
        <w:tabs>
          <w:tab w:leader="none" w:pos="1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00" w:right="20" w:hanging="842"/>
        <w:spacing w:after="0" w:line="260" w:lineRule="auto"/>
        <w:tabs>
          <w:tab w:leader="none" w:pos="1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20"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10160</wp:posOffset>
            </wp:positionV>
            <wp:extent cx="28460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C. Howard Nye</w:t>
      </w:r>
    </w:p>
    <w:p>
      <w:pPr>
        <w:spacing w:after="0" w:line="8"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Chairman, President and</w:t>
      </w:r>
    </w:p>
    <w:p>
      <w:pPr>
        <w:ind w:left="6900"/>
        <w:spacing w:after="0"/>
        <w:rPr>
          <w:sz w:val="20"/>
          <w:szCs w:val="20"/>
          <w:color w:val="auto"/>
        </w:rPr>
      </w:pPr>
      <w:r>
        <w:rPr>
          <w:rFonts w:ascii="Arial" w:cs="Arial" w:eastAsia="Arial" w:hAnsi="Arial"/>
          <w:sz w:val="20"/>
          <w:szCs w:val="20"/>
          <w:color w:val="auto"/>
        </w:rPr>
        <w:t>Chief Executive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May 4, 2021</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32.02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March 31, 2021 (the “Report”) of Martin Marietta Materials, Inc. (the “Registrant”), as filed with the Securities and Exchange Commission on the date hereof, I, James A. J. Nickolas, the Chief Financial Officer of the Registrant, certify, to the best of my knowledge, that:</w:t>
      </w:r>
    </w:p>
    <w:p>
      <w:pPr>
        <w:spacing w:after="0" w:line="199" w:lineRule="exact"/>
        <w:rPr>
          <w:sz w:val="20"/>
          <w:szCs w:val="20"/>
          <w:color w:val="auto"/>
        </w:rPr>
      </w:pPr>
    </w:p>
    <w:p>
      <w:pPr>
        <w:ind w:left="1700" w:hanging="842"/>
        <w:spacing w:after="0" w:line="260" w:lineRule="auto"/>
        <w:tabs>
          <w:tab w:leader="none" w:pos="1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00" w:right="20" w:hanging="842"/>
        <w:spacing w:after="0" w:line="260" w:lineRule="auto"/>
        <w:tabs>
          <w:tab w:leader="none" w:pos="1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20"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10160</wp:posOffset>
            </wp:positionV>
            <wp:extent cx="28460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James A. J. Nickolas</w:t>
      </w:r>
    </w:p>
    <w:p>
      <w:pPr>
        <w:spacing w:after="0" w:line="8"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Sr. Vice President and</w:t>
      </w:r>
    </w:p>
    <w:p>
      <w:pPr>
        <w:ind w:left="690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May 4, 2021</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EXHIBIT 95</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presents the following items regarding certain mining safety and health matters for the three months ended March 31, 2021:</w:t>
      </w:r>
    </w:p>
    <w:p>
      <w:pPr>
        <w:spacing w:after="0" w:line="252" w:lineRule="exact"/>
        <w:rPr>
          <w:sz w:val="20"/>
          <w:szCs w:val="20"/>
          <w:color w:val="auto"/>
        </w:rPr>
      </w:pPr>
    </w:p>
    <w:p>
      <w:pPr>
        <w:jc w:val="both"/>
        <w:ind w:left="440" w:hanging="432"/>
        <w:spacing w:after="0" w:line="259" w:lineRule="auto"/>
        <w:tabs>
          <w:tab w:leader="none" w:pos="440" w:val="left"/>
        </w:tabs>
        <w:numPr>
          <w:ilvl w:val="0"/>
          <w:numId w:val="21"/>
        </w:numPr>
        <w:rPr>
          <w:rFonts w:ascii="Arial" w:cs="Arial" w:eastAsia="Arial" w:hAnsi="Arial"/>
          <w:sz w:val="19"/>
          <w:szCs w:val="19"/>
          <w:b w:val="1"/>
          <w:bCs w:val="1"/>
          <w:color w:val="auto"/>
        </w:rPr>
      </w:pPr>
      <w:r>
        <w:rPr>
          <w:rFonts w:ascii="Arial" w:cs="Arial" w:eastAsia="Arial" w:hAnsi="Arial"/>
          <w:sz w:val="19"/>
          <w:szCs w:val="19"/>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spacing w:after="0" w:line="164" w:lineRule="exact"/>
        <w:rPr>
          <w:rFonts w:ascii="Arial" w:cs="Arial" w:eastAsia="Arial" w:hAnsi="Arial"/>
          <w:sz w:val="19"/>
          <w:szCs w:val="19"/>
          <w:b w:val="1"/>
          <w:bCs w:val="1"/>
          <w:color w:val="auto"/>
        </w:rPr>
      </w:pPr>
    </w:p>
    <w:p>
      <w:pPr>
        <w:jc w:val="both"/>
        <w:ind w:left="440" w:hanging="432"/>
        <w:spacing w:after="0" w:line="246" w:lineRule="auto"/>
        <w:tabs>
          <w:tab w:leader="none" w:pos="440" w:val="left"/>
        </w:tabs>
        <w:numPr>
          <w:ilvl w:val="0"/>
          <w:numId w:val="21"/>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204" w:lineRule="exact"/>
        <w:rPr>
          <w:rFonts w:ascii="Arial" w:cs="Arial" w:eastAsia="Arial" w:hAnsi="Arial"/>
          <w:sz w:val="20"/>
          <w:szCs w:val="20"/>
          <w:b w:val="1"/>
          <w:bCs w:val="1"/>
          <w:color w:val="auto"/>
        </w:rPr>
      </w:pPr>
    </w:p>
    <w:p>
      <w:pPr>
        <w:jc w:val="both"/>
        <w:ind w:left="440" w:hanging="432"/>
        <w:spacing w:after="0" w:line="291" w:lineRule="auto"/>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436880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ind w:left="440"/>
        <w:spacing w:after="0" w:line="261" w:lineRule="auto"/>
        <w:rPr>
          <w:sz w:val="20"/>
          <w:szCs w:val="20"/>
          <w:color w:val="auto"/>
        </w:rPr>
      </w:pPr>
      <w:r>
        <w:rPr>
          <w:rFonts w:ascii="Arial" w:cs="Arial" w:eastAsia="Arial" w:hAnsi="Arial"/>
          <w:sz w:val="20"/>
          <w:szCs w:val="20"/>
          <w:color w:val="auto"/>
        </w:rPr>
        <w:t>or health hazard, but the conditions do not cause imminent danger, and the MSHA inspector finds that the violation is caused by an unwarranted failure of the operator to comply with the health and safety standards.</w:t>
      </w:r>
    </w:p>
    <w:p>
      <w:pPr>
        <w:spacing w:after="0" w:line="189" w:lineRule="exact"/>
        <w:rPr>
          <w:sz w:val="20"/>
          <w:szCs w:val="20"/>
          <w:color w:val="auto"/>
        </w:rPr>
      </w:pPr>
    </w:p>
    <w:p>
      <w:pPr>
        <w:jc w:val="both"/>
        <w:ind w:left="440" w:hanging="432"/>
        <w:spacing w:after="0" w:line="244" w:lineRule="auto"/>
        <w:tabs>
          <w:tab w:leader="none" w:pos="440" w:val="left"/>
        </w:tabs>
        <w:numPr>
          <w:ilvl w:val="0"/>
          <w:numId w:val="22"/>
        </w:numPr>
        <w:rPr>
          <w:rFonts w:ascii="Arial" w:cs="Arial" w:eastAsia="Arial" w:hAnsi="Arial"/>
          <w:sz w:val="20"/>
          <w:szCs w:val="20"/>
          <w:b w:val="1"/>
          <w:bCs w:val="1"/>
          <w:color w:val="auto"/>
        </w:rPr>
      </w:pPr>
      <w:r>
        <w:rPr>
          <w:rFonts w:ascii="Arial" w:cs="Arial" w:eastAsia="Arial" w:hAnsi="Arial"/>
          <w:sz w:val="20"/>
          <w:szCs w:val="20"/>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7" w:lineRule="exact"/>
        <w:rPr>
          <w:rFonts w:ascii="Arial" w:cs="Arial" w:eastAsia="Arial" w:hAnsi="Arial"/>
          <w:sz w:val="20"/>
          <w:szCs w:val="20"/>
          <w:b w:val="1"/>
          <w:bCs w:val="1"/>
          <w:color w:val="auto"/>
        </w:rPr>
      </w:pPr>
    </w:p>
    <w:p>
      <w:pPr>
        <w:jc w:val="both"/>
        <w:ind w:left="440" w:hanging="432"/>
        <w:spacing w:after="0" w:line="263" w:lineRule="auto"/>
        <w:tabs>
          <w:tab w:leader="none" w:pos="440" w:val="left"/>
        </w:tabs>
        <w:numPr>
          <w:ilvl w:val="0"/>
          <w:numId w:val="22"/>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89" w:lineRule="exact"/>
        <w:rPr>
          <w:rFonts w:ascii="Arial" w:cs="Arial" w:eastAsia="Arial" w:hAnsi="Arial"/>
          <w:sz w:val="19"/>
          <w:szCs w:val="19"/>
          <w:b w:val="1"/>
          <w:bCs w:val="1"/>
          <w:color w:val="auto"/>
        </w:rPr>
      </w:pPr>
    </w:p>
    <w:p>
      <w:pPr>
        <w:jc w:val="both"/>
        <w:ind w:left="440" w:hanging="432"/>
        <w:spacing w:after="0" w:line="282" w:lineRule="auto"/>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74" w:lineRule="exact"/>
        <w:rPr>
          <w:rFonts w:ascii="Arial" w:cs="Arial" w:eastAsia="Arial" w:hAnsi="Arial"/>
          <w:sz w:val="18"/>
          <w:szCs w:val="18"/>
          <w:b w:val="1"/>
          <w:bCs w:val="1"/>
          <w:color w:val="auto"/>
        </w:rPr>
      </w:pPr>
    </w:p>
    <w:p>
      <w:pPr>
        <w:jc w:val="both"/>
        <w:ind w:left="440" w:hanging="432"/>
        <w:spacing w:after="0" w:line="291" w:lineRule="auto"/>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65" w:lineRule="exact"/>
        <w:rPr>
          <w:rFonts w:ascii="Arial" w:cs="Arial" w:eastAsia="Arial" w:hAnsi="Arial"/>
          <w:sz w:val="18"/>
          <w:szCs w:val="18"/>
          <w:b w:val="1"/>
          <w:bCs w:val="1"/>
          <w:color w:val="auto"/>
        </w:rPr>
      </w:pPr>
    </w:p>
    <w:p>
      <w:pPr>
        <w:jc w:val="both"/>
        <w:ind w:left="440" w:hanging="432"/>
        <w:spacing w:after="0" w:line="282" w:lineRule="auto"/>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74" w:lineRule="exact"/>
        <w:rPr>
          <w:rFonts w:ascii="Arial" w:cs="Arial" w:eastAsia="Arial" w:hAnsi="Arial"/>
          <w:sz w:val="18"/>
          <w:szCs w:val="18"/>
          <w:b w:val="1"/>
          <w:bCs w:val="1"/>
          <w:color w:val="auto"/>
        </w:rPr>
      </w:pPr>
    </w:p>
    <w:p>
      <w:pPr>
        <w:ind w:left="440" w:hanging="432"/>
        <w:spacing w:after="0"/>
        <w:tabs>
          <w:tab w:leader="none" w:pos="440" w:val="left"/>
        </w:tabs>
        <w:numPr>
          <w:ilvl w:val="0"/>
          <w:numId w:val="22"/>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229" w:lineRule="exact"/>
        <w:rPr>
          <w:rFonts w:ascii="Arial" w:cs="Arial" w:eastAsia="Arial" w:hAnsi="Arial"/>
          <w:sz w:val="20"/>
          <w:szCs w:val="20"/>
          <w:b w:val="1"/>
          <w:bCs w:val="1"/>
          <w:color w:val="auto"/>
        </w:rPr>
      </w:pPr>
    </w:p>
    <w:p>
      <w:pPr>
        <w:ind w:left="440" w:hanging="432"/>
        <w:spacing w:after="0"/>
        <w:tabs>
          <w:tab w:leader="none" w:pos="440" w:val="left"/>
        </w:tabs>
        <w:numPr>
          <w:ilvl w:val="0"/>
          <w:numId w:val="22"/>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229" w:lineRule="exact"/>
        <w:rPr>
          <w:rFonts w:ascii="Arial" w:cs="Arial" w:eastAsia="Arial" w:hAnsi="Arial"/>
          <w:sz w:val="20"/>
          <w:szCs w:val="20"/>
          <w:b w:val="1"/>
          <w:bCs w:val="1"/>
          <w:color w:val="auto"/>
        </w:rPr>
      </w:pPr>
    </w:p>
    <w:p>
      <w:pPr>
        <w:ind w:left="440" w:hanging="432"/>
        <w:spacing w:after="0"/>
        <w:tabs>
          <w:tab w:leader="none" w:pos="440" w:val="left"/>
        </w:tabs>
        <w:numPr>
          <w:ilvl w:val="0"/>
          <w:numId w:val="22"/>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9"/>
          <w:szCs w:val="19"/>
          <w:color w:val="auto"/>
        </w:rPr>
        <w:t>penalties they have received from MSHA, or complaints of discrimination by miners under Section 105 of the Mine Act. Appendix 1 shows, for each of the Corporation’s quarries and mines identified, as of March 31, 2021,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768985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52"/>
        </w:trPr>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40" w:type="dxa"/>
            <w:vAlign w:val="bottom"/>
            <w:gridSpan w:val="2"/>
          </w:tcPr>
          <w:p>
            <w:pPr>
              <w:ind w:left="660"/>
              <w:spacing w:after="0"/>
              <w:rPr>
                <w:sz w:val="20"/>
                <w:szCs w:val="20"/>
                <w:color w:val="auto"/>
              </w:rPr>
            </w:pPr>
            <w:r>
              <w:rPr>
                <w:rFonts w:ascii="Arial" w:cs="Arial" w:eastAsia="Arial" w:hAnsi="Arial"/>
                <w:sz w:val="20"/>
                <w:szCs w:val="20"/>
                <w:color w:val="auto"/>
                <w:w w:val="95"/>
              </w:rPr>
              <w:t>Appendix 1</w:t>
            </w:r>
          </w:p>
        </w:tc>
      </w:tr>
      <w:tr>
        <w:trPr>
          <w:trHeight w:val="662"/>
        </w:trPr>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20"/>
                <w:szCs w:val="20"/>
                <w:b w:val="1"/>
                <w:bCs w:val="1"/>
                <w:color w:val="auto"/>
                <w:w w:val="86"/>
              </w:rPr>
              <w:t>Received Received</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9"/>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20"/>
                <w:szCs w:val="20"/>
                <w:b w:val="1"/>
                <w:bCs w:val="1"/>
                <w:color w:val="auto"/>
                <w:w w:val="88"/>
              </w:rPr>
              <w:t>Notice of Notice of</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7"/>
              </w:rPr>
              <w:t>Legal</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1"/>
              </w:rPr>
              <w:t>Total</w:t>
            </w:r>
          </w:p>
        </w:tc>
        <w:tc>
          <w:tcPr>
            <w:tcW w:w="2280" w:type="dxa"/>
            <w:vAlign w:val="bottom"/>
            <w:gridSpan w:val="3"/>
          </w:tcPr>
          <w:p>
            <w:pPr>
              <w:jc w:val="center"/>
              <w:spacing w:after="0"/>
              <w:rPr>
                <w:sz w:val="20"/>
                <w:szCs w:val="20"/>
                <w:color w:val="auto"/>
              </w:rPr>
            </w:pPr>
            <w:r>
              <w:rPr>
                <w:rFonts w:ascii="Arial" w:cs="Arial" w:eastAsia="Arial" w:hAnsi="Arial"/>
                <w:sz w:val="20"/>
                <w:szCs w:val="20"/>
                <w:b w:val="1"/>
                <w:bCs w:val="1"/>
                <w:color w:val="auto"/>
                <w:w w:val="90"/>
              </w:rPr>
              <w:t>Pattern Potential Actions</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2"/>
              </w:rPr>
              <w:t>Section</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81"/>
              <w:spacing w:after="0"/>
              <w:rPr>
                <w:sz w:val="20"/>
                <w:szCs w:val="20"/>
                <w:color w:val="auto"/>
              </w:rPr>
            </w:pPr>
            <w:r>
              <w:rPr>
                <w:rFonts w:ascii="Arial" w:cs="Arial" w:eastAsia="Arial" w:hAnsi="Arial"/>
                <w:sz w:val="20"/>
                <w:szCs w:val="20"/>
                <w:b w:val="1"/>
                <w:bCs w:val="1"/>
                <w:color w:val="auto"/>
                <w:w w:val="91"/>
              </w:rPr>
              <w:t>Total</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2"/>
              </w:rPr>
              <w:t>Number</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5"/>
              </w:rPr>
              <w:t>of</w:t>
            </w:r>
          </w:p>
        </w:tc>
        <w:tc>
          <w:tcPr>
            <w:tcW w:w="1500" w:type="dxa"/>
            <w:vAlign w:val="bottom"/>
            <w:gridSpan w:val="2"/>
          </w:tcPr>
          <w:p>
            <w:pPr>
              <w:ind w:left="100"/>
              <w:spacing w:after="0"/>
              <w:rPr>
                <w:sz w:val="20"/>
                <w:szCs w:val="20"/>
                <w:color w:val="auto"/>
              </w:rPr>
            </w:pPr>
            <w:r>
              <w:rPr>
                <w:rFonts w:ascii="Arial" w:cs="Arial" w:eastAsia="Arial" w:hAnsi="Arial"/>
                <w:sz w:val="20"/>
                <w:szCs w:val="20"/>
                <w:b w:val="1"/>
                <w:bCs w:val="1"/>
                <w:color w:val="auto"/>
                <w:w w:val="89"/>
              </w:rPr>
              <w:t>to have Pending</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7"/>
              </w:rPr>
              <w:t>Legal</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7"/>
              </w:rPr>
              <w:t>Legal</w:t>
            </w:r>
          </w:p>
        </w:tc>
      </w:tr>
      <w:tr>
        <w:trPr>
          <w:trHeight w:val="229"/>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104(d)</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101"/>
              <w:spacing w:after="0"/>
              <w:rPr>
                <w:sz w:val="20"/>
                <w:szCs w:val="20"/>
                <w:color w:val="auto"/>
              </w:rPr>
            </w:pPr>
            <w:r>
              <w:rPr>
                <w:rFonts w:ascii="Arial" w:cs="Arial" w:eastAsia="Arial" w:hAnsi="Arial"/>
                <w:sz w:val="20"/>
                <w:szCs w:val="20"/>
                <w:b w:val="1"/>
                <w:bCs w:val="1"/>
                <w:color w:val="auto"/>
                <w:w w:val="95"/>
              </w:rPr>
              <w:t>Dollar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1600" w:type="dxa"/>
            <w:vAlign w:val="bottom"/>
            <w:gridSpan w:val="2"/>
          </w:tcPr>
          <w:p>
            <w:pPr>
              <w:spacing w:after="0"/>
              <w:rPr>
                <w:sz w:val="20"/>
                <w:szCs w:val="20"/>
                <w:color w:val="auto"/>
              </w:rPr>
            </w:pPr>
            <w:r>
              <w:rPr>
                <w:rFonts w:ascii="Arial" w:cs="Arial" w:eastAsia="Arial" w:hAnsi="Arial"/>
                <w:sz w:val="20"/>
                <w:szCs w:val="20"/>
                <w:b w:val="1"/>
                <w:bCs w:val="1"/>
                <w:color w:val="auto"/>
                <w:w w:val="99"/>
              </w:rPr>
              <w:t>Violation Pattern</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1"/>
              </w:rPr>
              <w:t>as of</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4"/>
              </w:rPr>
              <w:t>Actions</w:t>
            </w:r>
          </w:p>
        </w:tc>
      </w:tr>
      <w:tr>
        <w:trPr>
          <w:trHeight w:val="230"/>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20" w:type="dxa"/>
            <w:vAlign w:val="bottom"/>
            <w:gridSpan w:val="3"/>
          </w:tcPr>
          <w:p>
            <w:pPr>
              <w:ind w:left="80"/>
              <w:spacing w:after="0"/>
              <w:rPr>
                <w:sz w:val="20"/>
                <w:szCs w:val="20"/>
                <w:color w:val="auto"/>
              </w:rPr>
            </w:pPr>
            <w:r>
              <w:rPr>
                <w:rFonts w:ascii="Arial" w:cs="Arial" w:eastAsia="Arial" w:hAnsi="Arial"/>
                <w:sz w:val="20"/>
                <w:szCs w:val="20"/>
                <w:b w:val="1"/>
                <w:bCs w:val="1"/>
                <w:color w:val="auto"/>
                <w:w w:val="87"/>
              </w:rPr>
              <w:t>Section Section Citations</w:t>
            </w:r>
          </w:p>
        </w:tc>
        <w:tc>
          <w:tcPr>
            <w:tcW w:w="800" w:type="dxa"/>
            <w:vAlign w:val="bottom"/>
          </w:tcPr>
          <w:p>
            <w:pPr>
              <w:ind w:left="120"/>
              <w:spacing w:after="0"/>
              <w:rPr>
                <w:sz w:val="20"/>
                <w:szCs w:val="20"/>
                <w:color w:val="auto"/>
              </w:rPr>
            </w:pPr>
            <w:r>
              <w:rPr>
                <w:rFonts w:ascii="Arial" w:cs="Arial" w:eastAsia="Arial" w:hAnsi="Arial"/>
                <w:sz w:val="20"/>
                <w:szCs w:val="20"/>
                <w:b w:val="1"/>
                <w:bCs w:val="1"/>
                <w:color w:val="auto"/>
                <w:w w:val="91"/>
              </w:rPr>
              <w:t>Section</w:t>
            </w: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91"/>
              </w:rPr>
              <w:t>Section</w:t>
            </w:r>
          </w:p>
        </w:tc>
        <w:tc>
          <w:tcPr>
            <w:tcW w:w="180" w:type="dxa"/>
            <w:vAlign w:val="bottom"/>
          </w:tcPr>
          <w:p>
            <w:pPr>
              <w:spacing w:after="0"/>
              <w:rPr>
                <w:sz w:val="19"/>
                <w:szCs w:val="19"/>
                <w:color w:val="auto"/>
              </w:rPr>
            </w:pPr>
          </w:p>
        </w:tc>
        <w:tc>
          <w:tcPr>
            <w:tcW w:w="940" w:type="dxa"/>
            <w:vAlign w:val="bottom"/>
          </w:tcPr>
          <w:p>
            <w:pPr>
              <w:jc w:val="center"/>
              <w:ind w:right="81"/>
              <w:spacing w:after="0"/>
              <w:rPr>
                <w:sz w:val="20"/>
                <w:szCs w:val="20"/>
                <w:color w:val="auto"/>
              </w:rPr>
            </w:pPr>
            <w:r>
              <w:rPr>
                <w:rFonts w:ascii="Arial" w:cs="Arial" w:eastAsia="Arial" w:hAnsi="Arial"/>
                <w:sz w:val="20"/>
                <w:szCs w:val="20"/>
                <w:b w:val="1"/>
                <w:bCs w:val="1"/>
                <w:color w:val="auto"/>
                <w:w w:val="87"/>
              </w:rPr>
              <w:t>Value 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6"/>
              </w:rPr>
              <w:t>Mining</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3"/>
              </w:rPr>
              <w:t>under</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2"/>
              </w:rPr>
              <w:t>Last</w:t>
            </w:r>
          </w:p>
        </w:tc>
        <w:tc>
          <w:tcPr>
            <w:tcW w:w="1640" w:type="dxa"/>
            <w:vAlign w:val="bottom"/>
            <w:gridSpan w:val="2"/>
          </w:tcPr>
          <w:p>
            <w:pPr>
              <w:ind w:left="20"/>
              <w:spacing w:after="0"/>
              <w:rPr>
                <w:sz w:val="20"/>
                <w:szCs w:val="20"/>
                <w:color w:val="auto"/>
              </w:rPr>
            </w:pPr>
            <w:r>
              <w:rPr>
                <w:rFonts w:ascii="Arial" w:cs="Arial" w:eastAsia="Arial" w:hAnsi="Arial"/>
                <w:sz w:val="20"/>
                <w:szCs w:val="20"/>
                <w:b w:val="1"/>
                <w:bCs w:val="1"/>
                <w:color w:val="auto"/>
                <w:w w:val="86"/>
              </w:rPr>
              <w:t>Instituted Resolved</w:t>
            </w:r>
          </w:p>
        </w:tc>
      </w:tr>
      <w:tr>
        <w:trPr>
          <w:trHeight w:val="229"/>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20"/>
                <w:szCs w:val="20"/>
                <w:b w:val="1"/>
                <w:bCs w:val="1"/>
                <w:color w:val="auto"/>
                <w:w w:val="98"/>
              </w:rPr>
              <w:t>104 S&amp;S 104(b)</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and</w:t>
            </w:r>
          </w:p>
        </w:tc>
        <w:tc>
          <w:tcPr>
            <w:tcW w:w="1520" w:type="dxa"/>
            <w:vAlign w:val="bottom"/>
            <w:gridSpan w:val="2"/>
          </w:tcPr>
          <w:p>
            <w:pPr>
              <w:jc w:val="right"/>
              <w:spacing w:after="0"/>
              <w:rPr>
                <w:sz w:val="20"/>
                <w:szCs w:val="20"/>
                <w:color w:val="auto"/>
              </w:rPr>
            </w:pPr>
            <w:r>
              <w:rPr>
                <w:rFonts w:ascii="Arial" w:cs="Arial" w:eastAsia="Arial" w:hAnsi="Arial"/>
                <w:sz w:val="20"/>
                <w:szCs w:val="20"/>
                <w:b w:val="1"/>
                <w:bCs w:val="1"/>
                <w:color w:val="auto"/>
                <w:w w:val="96"/>
              </w:rPr>
              <w:t>110(b)(2) 107(a)</w:t>
            </w:r>
          </w:p>
        </w:tc>
        <w:tc>
          <w:tcPr>
            <w:tcW w:w="180" w:type="dxa"/>
            <w:vAlign w:val="bottom"/>
          </w:tcPr>
          <w:p>
            <w:pPr>
              <w:spacing w:after="0"/>
              <w:rPr>
                <w:sz w:val="19"/>
                <w:szCs w:val="19"/>
                <w:color w:val="auto"/>
              </w:rPr>
            </w:pPr>
          </w:p>
        </w:tc>
        <w:tc>
          <w:tcPr>
            <w:tcW w:w="940" w:type="dxa"/>
            <w:vAlign w:val="bottom"/>
          </w:tcPr>
          <w:p>
            <w:pPr>
              <w:jc w:val="center"/>
              <w:ind w:right="81"/>
              <w:spacing w:after="0"/>
              <w:rPr>
                <w:sz w:val="20"/>
                <w:szCs w:val="20"/>
                <w:color w:val="auto"/>
              </w:rPr>
            </w:pPr>
            <w:r>
              <w:rPr>
                <w:rFonts w:ascii="Arial" w:cs="Arial" w:eastAsia="Arial" w:hAnsi="Arial"/>
                <w:sz w:val="20"/>
                <w:szCs w:val="20"/>
                <w:b w:val="1"/>
                <w:bCs w:val="1"/>
                <w:color w:val="auto"/>
              </w:rPr>
              <w:t>MSHA</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1"/>
              </w:rPr>
              <w:t>Related</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2"/>
              </w:rPr>
              <w:t>Section</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8"/>
              </w:rPr>
              <w:t>Day of</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3"/>
              </w:rPr>
              <w:t>During</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6"/>
              </w:rPr>
              <w:t>During</w:t>
            </w:r>
          </w:p>
        </w:tc>
      </w:tr>
      <w:tr>
        <w:trPr>
          <w:trHeight w:val="229"/>
        </w:trPr>
        <w:tc>
          <w:tcPr>
            <w:tcW w:w="980" w:type="dxa"/>
            <w:vAlign w:val="bottom"/>
          </w:tcPr>
          <w:p>
            <w:pPr>
              <w:spacing w:after="0"/>
              <w:rPr>
                <w:sz w:val="19"/>
                <w:szCs w:val="19"/>
                <w:color w:val="auto"/>
              </w:rPr>
            </w:pPr>
          </w:p>
        </w:tc>
        <w:tc>
          <w:tcPr>
            <w:tcW w:w="2180" w:type="dxa"/>
            <w:vAlign w:val="bottom"/>
            <w:gridSpan w:val="3"/>
          </w:tcPr>
          <w:p>
            <w:pPr>
              <w:ind w:left="60"/>
              <w:spacing w:after="0"/>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Orders</w:t>
            </w:r>
          </w:p>
        </w:tc>
        <w:tc>
          <w:tcPr>
            <w:tcW w:w="1520" w:type="dxa"/>
            <w:vAlign w:val="bottom"/>
            <w:gridSpan w:val="2"/>
          </w:tcPr>
          <w:p>
            <w:pPr>
              <w:jc w:val="right"/>
              <w:spacing w:after="0"/>
              <w:rPr>
                <w:sz w:val="20"/>
                <w:szCs w:val="20"/>
                <w:color w:val="auto"/>
              </w:rPr>
            </w:pPr>
            <w:r>
              <w:rPr>
                <w:rFonts w:ascii="Arial" w:cs="Arial" w:eastAsia="Arial" w:hAnsi="Arial"/>
                <w:sz w:val="20"/>
                <w:szCs w:val="20"/>
                <w:b w:val="1"/>
                <w:bCs w:val="1"/>
                <w:color w:val="auto"/>
                <w:w w:val="87"/>
              </w:rPr>
              <w:t>Violations Orders</w:t>
            </w:r>
          </w:p>
        </w:tc>
        <w:tc>
          <w:tcPr>
            <w:tcW w:w="1940" w:type="dxa"/>
            <w:vAlign w:val="bottom"/>
            <w:gridSpan w:val="3"/>
          </w:tcPr>
          <w:p>
            <w:pPr>
              <w:ind w:left="40"/>
              <w:spacing w:after="0"/>
              <w:rPr>
                <w:sz w:val="20"/>
                <w:szCs w:val="20"/>
                <w:color w:val="auto"/>
              </w:rPr>
            </w:pPr>
            <w:r>
              <w:rPr>
                <w:rFonts w:ascii="Arial" w:cs="Arial" w:eastAsia="Arial" w:hAnsi="Arial"/>
                <w:sz w:val="20"/>
                <w:szCs w:val="20"/>
                <w:b w:val="1"/>
                <w:bCs w:val="1"/>
                <w:color w:val="auto"/>
                <w:w w:val="87"/>
              </w:rPr>
              <w:t>Assessment/ Fatalities</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6"/>
              </w:rPr>
              <w:t>104(e)</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r>
      <w:tr>
        <w:trPr>
          <w:trHeight w:val="252"/>
        </w:trPr>
        <w:tc>
          <w:tcPr>
            <w:tcW w:w="980" w:type="dxa"/>
            <w:vAlign w:val="bottom"/>
          </w:tcPr>
          <w:p>
            <w:pPr>
              <w:ind w:left="120"/>
              <w:spacing w:after="0"/>
              <w:rPr>
                <w:sz w:val="20"/>
                <w:szCs w:val="20"/>
                <w:color w:val="auto"/>
              </w:rPr>
            </w:pPr>
            <w:r>
              <w:rPr>
                <w:rFonts w:ascii="Arial" w:cs="Arial" w:eastAsia="Arial" w:hAnsi="Arial"/>
                <w:sz w:val="20"/>
                <w:szCs w:val="20"/>
                <w:b w:val="1"/>
                <w:bCs w:val="1"/>
                <w:color w:val="auto"/>
              </w:rPr>
              <w:t>Location</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rPr>
              <w:t>ID</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1120" w:type="dxa"/>
            <w:vAlign w:val="bottom"/>
            <w:gridSpan w:val="2"/>
          </w:tcPr>
          <w:p>
            <w:pPr>
              <w:jc w:val="center"/>
              <w:spacing w:after="0"/>
              <w:rPr>
                <w:sz w:val="20"/>
                <w:szCs w:val="20"/>
                <w:color w:val="auto"/>
              </w:rPr>
            </w:pPr>
            <w:r>
              <w:rPr>
                <w:rFonts w:ascii="Arial" w:cs="Arial" w:eastAsia="Arial" w:hAnsi="Arial"/>
                <w:sz w:val="20"/>
                <w:szCs w:val="20"/>
                <w:b w:val="1"/>
                <w:bCs w:val="1"/>
                <w:color w:val="auto"/>
                <w:w w:val="85"/>
              </w:rPr>
              <w:t>$Proposed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Alexander</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3101636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Amelia</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4407372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American</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Stone</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3100189</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Anderson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auto"/>
              </w:rPr>
              <w:t>Creek</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4402963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Appling</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0901083</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125</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Arrowood</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3100059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Asheboro</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3100066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Auburn Al</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0100006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6"/>
              </w:rPr>
              <w:t>Auburn GA</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0900436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Augusta</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1700" w:type="dxa"/>
            <w:vAlign w:val="bottom"/>
            <w:gridSpan w:val="2"/>
          </w:tcPr>
          <w:p>
            <w:pPr>
              <w:spacing w:after="0"/>
              <w:rPr>
                <w:sz w:val="20"/>
                <w:szCs w:val="20"/>
                <w:color w:val="auto"/>
              </w:rPr>
            </w:pPr>
            <w:r>
              <w:rPr>
                <w:rFonts w:ascii="Arial" w:cs="Arial" w:eastAsia="Arial" w:hAnsi="Arial"/>
                <w:sz w:val="20"/>
                <w:szCs w:val="20"/>
                <w:color w:val="auto"/>
                <w:w w:val="93"/>
              </w:rPr>
              <w:t>GA Quarry 0900065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Bakers</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3100071</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Ball</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80" w:type="dxa"/>
            <w:vAlign w:val="bottom"/>
          </w:tcPr>
          <w:p>
            <w:pPr>
              <w:spacing w:after="0"/>
              <w:rPr>
                <w:sz w:val="20"/>
                <w:szCs w:val="20"/>
                <w:color w:val="auto"/>
              </w:rPr>
            </w:pPr>
            <w:r>
              <w:rPr>
                <w:rFonts w:ascii="Arial" w:cs="Arial" w:eastAsia="Arial" w:hAnsi="Arial"/>
                <w:sz w:val="20"/>
                <w:szCs w:val="20"/>
                <w:color w:val="auto"/>
              </w:rPr>
              <w:t>Ground</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0900955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187</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Belgrade</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3100064</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Benson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3101979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Berkeley</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3800072</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Bessemer</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1700" w:type="dxa"/>
            <w:vAlign w:val="bottom"/>
            <w:gridSpan w:val="2"/>
          </w:tcPr>
          <w:p>
            <w:pPr>
              <w:spacing w:after="0"/>
              <w:rPr>
                <w:sz w:val="20"/>
                <w:szCs w:val="20"/>
                <w:color w:val="auto"/>
              </w:rPr>
            </w:pPr>
            <w:r>
              <w:rPr>
                <w:rFonts w:ascii="Arial" w:cs="Arial" w:eastAsia="Arial" w:hAnsi="Arial"/>
                <w:sz w:val="20"/>
                <w:szCs w:val="20"/>
                <w:color w:val="auto"/>
                <w:w w:val="91"/>
              </w:rPr>
              <w:t>City Quarry 3101105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Black</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0"/>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Ankle</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3102220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Bonds</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3101963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88"/>
              </w:rPr>
              <w:t>Boonesboro</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1800024</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Burlington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3100042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Caldwell</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3101869</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Calhoun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4003395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Calhoun</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3800716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125</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Castle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80" w:type="dxa"/>
            <w:vAlign w:val="bottom"/>
          </w:tcPr>
          <w:p>
            <w:pPr>
              <w:spacing w:after="0"/>
              <w:rPr>
                <w:sz w:val="20"/>
                <w:szCs w:val="20"/>
                <w:color w:val="auto"/>
              </w:rPr>
            </w:pPr>
            <w:r>
              <w:rPr>
                <w:rFonts w:ascii="Arial" w:cs="Arial" w:eastAsia="Arial" w:hAnsi="Arial"/>
                <w:sz w:val="20"/>
                <w:szCs w:val="20"/>
                <w:color w:val="auto"/>
              </w:rPr>
              <w:t>Hayne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3100063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3"/>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Cayce</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3800016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Central</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80" w:type="dxa"/>
            <w:vAlign w:val="bottom"/>
          </w:tcPr>
          <w:p>
            <w:pPr>
              <w:spacing w:after="0"/>
              <w:rPr>
                <w:sz w:val="20"/>
                <w:szCs w:val="20"/>
                <w:color w:val="auto"/>
              </w:rPr>
            </w:pPr>
            <w:r>
              <w:rPr>
                <w:rFonts w:ascii="Arial" w:cs="Arial" w:eastAsia="Arial" w:hAnsi="Arial"/>
                <w:sz w:val="20"/>
                <w:szCs w:val="20"/>
                <w:color w:val="auto"/>
              </w:rPr>
              <w:t>Rock</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3100050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Charlotte</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3100057</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bl>
    <w:p>
      <w:pPr>
        <w:sectPr>
          <w:pgSz w:w="11900" w:h="16838" w:orient="portrait"/>
          <w:cols w:equalWidth="0" w:num="1">
            <w:col w:w="11300"/>
          </w:cols>
          <w:pgMar w:left="320" w:top="122" w:right="279" w:bottom="0"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281940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52"/>
        </w:trPr>
        <w:tc>
          <w:tcPr>
            <w:tcW w:w="2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468"/>
        </w:trPr>
        <w:tc>
          <w:tcPr>
            <w:tcW w:w="2140" w:type="dxa"/>
            <w:vAlign w:val="bottom"/>
          </w:tcPr>
          <w:p>
            <w:pPr>
              <w:spacing w:after="0"/>
              <w:rPr>
                <w:sz w:val="20"/>
                <w:szCs w:val="20"/>
                <w:color w:val="auto"/>
              </w:rPr>
            </w:pPr>
            <w:r>
              <w:rPr>
                <w:rFonts w:ascii="Arial" w:cs="Arial" w:eastAsia="Arial" w:hAnsi="Arial"/>
                <w:sz w:val="20"/>
                <w:szCs w:val="20"/>
                <w:color w:val="auto"/>
              </w:rPr>
              <w:t>Chattanooga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4003159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Churchville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1800012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Clarks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3102009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Cumberland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3102237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Cumming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0900460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Denver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3101971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Doswell Quarry VA</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4400045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Douglasville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0900024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East Alamance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3102021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Edgefield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3800738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Edmund Sand</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3800662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Fountain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3100065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Franklin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3102130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Frederick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1800013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Fuquay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3102055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Garner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3100072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Georgetown II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3800525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w w:val="98"/>
              </w:rPr>
              <w:t>Greensboro Portable Plt</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3102336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w w:val="91"/>
              </w:rPr>
              <w:t>Greensboro Portable Plt II</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3102335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Hickory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3100043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Hicone</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3102088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Jamestown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3100051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Jefferson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0901106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Junction City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0901029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Kannapolis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3100070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Kent Sand &amp; Gravel</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1800745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Kings Mountain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3100047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Lemon Springs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3101104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Lithonia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0900023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Loamy Sand Gravel</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3800721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Maiden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3102125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Mallard Creek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3102006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Matthews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3102084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Maylene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0100634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0"/>
        </w:trPr>
        <w:tc>
          <w:tcPr>
            <w:tcW w:w="2140" w:type="dxa"/>
            <w:vAlign w:val="bottom"/>
          </w:tcPr>
          <w:p>
            <w:pPr>
              <w:spacing w:after="0"/>
              <w:rPr>
                <w:sz w:val="20"/>
                <w:szCs w:val="20"/>
                <w:color w:val="auto"/>
              </w:rPr>
            </w:pPr>
            <w:r>
              <w:rPr>
                <w:rFonts w:ascii="Arial" w:cs="Arial" w:eastAsia="Arial" w:hAnsi="Arial"/>
                <w:sz w:val="20"/>
                <w:szCs w:val="20"/>
                <w:color w:val="auto"/>
              </w:rPr>
              <w:t>Medford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1800035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0"/>
        </w:trPr>
        <w:tc>
          <w:tcPr>
            <w:tcW w:w="2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52"/>
        </w:trPr>
        <w:tc>
          <w:tcPr>
            <w:tcW w:w="2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225"/>
        </w:trPr>
        <w:tc>
          <w:tcPr>
            <w:tcW w:w="2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Midlothian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4403767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w w:val="95"/>
              </w:rPr>
              <w:t>Misc Greensboro District</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rPr>
              <w:t>B8611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Morgan County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0901126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Newton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0900899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North Columbia</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3800146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North East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1800417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Old Charleston Sand</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3800702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O'Neal Plant  Co 19</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0103076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Onslow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3102120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Paulding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0901107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Perry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0801083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Pinesburg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1800021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Pomona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3100052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w w:val="99"/>
              </w:rPr>
              <w:t>Raleigh Durham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3101941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Red Hill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4400072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Red Oak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0900069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Reidsville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3100068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Rock Hill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3800026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Ruby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0900074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Salem Stone</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3102038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159</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Six Mile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0901144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w w:val="92"/>
              </w:rPr>
              <w:t>St. Marys Sand Company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0901199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Statesville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3100055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Texas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1800009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728</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Thomasville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3101475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Tyrone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0900306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Vance Quarry  Co 19</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0103022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Warfordsburg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3600168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Warrenton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0900580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Wilmington Sand</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3101308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Wilson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3102230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Woodleaf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3100069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1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(45) North Indianapolis</w:t>
            </w: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SURFACE</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1200002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0"/>
        </w:trPr>
        <w:tc>
          <w:tcPr>
            <w:tcW w:w="2120" w:type="dxa"/>
            <w:vAlign w:val="bottom"/>
          </w:tcPr>
          <w:p>
            <w:pPr>
              <w:spacing w:after="0"/>
              <w:rPr>
                <w:sz w:val="20"/>
                <w:szCs w:val="20"/>
                <w:color w:val="auto"/>
              </w:rPr>
            </w:pPr>
            <w:r>
              <w:rPr>
                <w:rFonts w:ascii="Arial" w:cs="Arial" w:eastAsia="Arial" w:hAnsi="Arial"/>
                <w:sz w:val="20"/>
                <w:szCs w:val="20"/>
                <w:color w:val="auto"/>
                <w:w w:val="99"/>
              </w:rPr>
              <w:t>Alden Portable Plant #2</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1302033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0"/>
        </w:trPr>
        <w:tc>
          <w:tcPr>
            <w:tcW w:w="2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52"/>
        </w:trPr>
        <w:tc>
          <w:tcPr>
            <w:tcW w:w="2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225"/>
        </w:trPr>
        <w:tc>
          <w:tcPr>
            <w:tcW w:w="2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Alden Portable Sand</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1302037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Alden Quarry</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1300228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Ames Mine</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1300014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1,255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Apple Grove S G</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3301676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Belmont Sand</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1201911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120" w:type="dxa"/>
            <w:vAlign w:val="bottom"/>
          </w:tcPr>
          <w:p>
            <w:pPr>
              <w:spacing w:after="0" w:line="227" w:lineRule="exact"/>
              <w:rPr>
                <w:sz w:val="20"/>
                <w:szCs w:val="20"/>
                <w:color w:val="auto"/>
              </w:rPr>
            </w:pPr>
            <w:r>
              <w:rPr>
                <w:rFonts w:ascii="Arial" w:cs="Arial" w:eastAsia="Arial" w:hAnsi="Arial"/>
                <w:sz w:val="20"/>
                <w:szCs w:val="20"/>
                <w:color w:val="auto"/>
              </w:rPr>
              <w:t>Bowling Green North</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120" w:type="dxa"/>
            <w:vAlign w:val="bottom"/>
          </w:tcPr>
          <w:p>
            <w:pPr>
              <w:spacing w:after="0"/>
              <w:rPr>
                <w:sz w:val="20"/>
                <w:szCs w:val="20"/>
                <w:color w:val="auto"/>
              </w:rPr>
            </w:pPr>
            <w:r>
              <w:rPr>
                <w:rFonts w:ascii="Arial" w:cs="Arial" w:eastAsia="Arial" w:hAnsi="Arial"/>
                <w:sz w:val="20"/>
                <w:szCs w:val="20"/>
                <w:color w:val="auto"/>
              </w:rPr>
              <w:t>Quarry</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1500065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1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Bowling Green South</w:t>
            </w:r>
          </w:p>
        </w:tc>
        <w:tc>
          <w:tcPr>
            <w:tcW w:w="9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1500025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Burning Springs Mine</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4608862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Carmel Sand</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1202124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Cedar Rapids Quarry</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1300122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Cedarville Quarry</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3304072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Cloverdale Quarry</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1201744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Cumberland Quarry</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1500037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Des Moines Portable</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1300150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w w:val="98"/>
              </w:rPr>
              <w:t>Des Moines Portable #2</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1300932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Dubois Quarry</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2501046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Durham Mine</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1301225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E Town Sand Gravel</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3304279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Earlham Quarry</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1302123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Fairfield Quarry</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3301396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Ferguson Quarry</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1300124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Fort Dodge Mine</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1300032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500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w w:val="94"/>
              </w:rPr>
              <w:t>Greenwood Quarry  New</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2300141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500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Harlan Quarry</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1500071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Hartford Quarry</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1500095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Inactive Iowa Grading</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1302126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Iowa Grading</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1302316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Kentucky Ave Mine</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1201762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w w:val="87"/>
              </w:rPr>
              <w:t>1,915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Kokomo Mine</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1202105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Kokomo Sand</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1202203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Kokomo Stone</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1200142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500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Linn County Sand</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1302208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Malcom Mine</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5"/>
              </w:rPr>
              <w:t>1300112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Marshalltown Sand</w:t>
            </w:r>
          </w:p>
        </w:tc>
        <w:tc>
          <w:tcPr>
            <w:tcW w:w="900" w:type="dxa"/>
            <w:vAlign w:val="bottom"/>
          </w:tcPr>
          <w:p>
            <w:pPr>
              <w:jc w:val="right"/>
              <w:ind w:right="41"/>
              <w:spacing w:after="0"/>
              <w:rPr>
                <w:sz w:val="20"/>
                <w:szCs w:val="20"/>
                <w:color w:val="auto"/>
              </w:rPr>
            </w:pPr>
            <w:r>
              <w:rPr>
                <w:rFonts w:ascii="Arial" w:cs="Arial" w:eastAsia="Arial" w:hAnsi="Arial"/>
                <w:sz w:val="20"/>
                <w:szCs w:val="20"/>
                <w:color w:val="auto"/>
                <w:w w:val="95"/>
              </w:rPr>
              <w:t>1300718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Midwest Division OH</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A2354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7"/>
        </w:trPr>
        <w:tc>
          <w:tcPr>
            <w:tcW w:w="2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52"/>
        </w:trPr>
        <w:tc>
          <w:tcPr>
            <w:tcW w:w="2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468"/>
        </w:trPr>
        <w:tc>
          <w:tcPr>
            <w:tcW w:w="2080" w:type="dxa"/>
            <w:vAlign w:val="bottom"/>
          </w:tcPr>
          <w:p>
            <w:pPr>
              <w:spacing w:after="0"/>
              <w:rPr>
                <w:sz w:val="20"/>
                <w:szCs w:val="20"/>
                <w:color w:val="auto"/>
              </w:rPr>
            </w:pPr>
            <w:r>
              <w:rPr>
                <w:rFonts w:ascii="Arial" w:cs="Arial" w:eastAsia="Arial" w:hAnsi="Arial"/>
                <w:sz w:val="20"/>
                <w:szCs w:val="20"/>
                <w:color w:val="auto"/>
              </w:rPr>
              <w:t>Moore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1302188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New Harvey Sand</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1301778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Noblesville Sand</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1201994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Noblesville Stone</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1202176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666</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3020" w:type="dxa"/>
            <w:vAlign w:val="bottom"/>
            <w:gridSpan w:val="2"/>
          </w:tcPr>
          <w:p>
            <w:pPr>
              <w:spacing w:after="0"/>
              <w:rPr>
                <w:sz w:val="20"/>
                <w:szCs w:val="20"/>
                <w:color w:val="auto"/>
              </w:rPr>
            </w:pPr>
            <w:r>
              <w:rPr>
                <w:rFonts w:ascii="Arial" w:cs="Arial" w:eastAsia="Arial" w:hAnsi="Arial"/>
                <w:sz w:val="20"/>
                <w:szCs w:val="20"/>
                <w:color w:val="auto"/>
                <w:w w:val="96"/>
              </w:rPr>
              <w:t>North Indianapolis Quarry 1201993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250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North Valley Sand</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2501271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Ottawa Quarry  New</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1401590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Pedersen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1302192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Petersburg Ky Gravel</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1516895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Phillipsburg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3300006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Portland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1302122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Raccoon River Sand</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1302315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Randolph Mine</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2302308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375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Reasnor Sand</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1300814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Saylorville Sand</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1302290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Shamrock SG</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3304011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250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3020" w:type="dxa"/>
            <w:vAlign w:val="bottom"/>
            <w:gridSpan w:val="2"/>
          </w:tcPr>
          <w:p>
            <w:pPr>
              <w:spacing w:after="0"/>
              <w:rPr>
                <w:sz w:val="20"/>
                <w:szCs w:val="20"/>
                <w:color w:val="auto"/>
              </w:rPr>
            </w:pPr>
            <w:r>
              <w:rPr>
                <w:rFonts w:ascii="Arial" w:cs="Arial" w:eastAsia="Arial" w:hAnsi="Arial"/>
                <w:sz w:val="20"/>
                <w:szCs w:val="20"/>
                <w:color w:val="auto"/>
                <w:w w:val="94"/>
              </w:rPr>
              <w:t>Spring Valley Cook Rd SG 3304534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St Cloud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2100081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Stamper Mine</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2302232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Sully Mine</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1300063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Sunflower Qy  Co 61</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1401556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Troy Gravel</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3301678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Waverly Sand</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1202038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Weeping Water Mine</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2500998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2</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2,166</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West Center Sand</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2501231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Xenia Gravel</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3301393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w w:val="97"/>
              </w:rPr>
              <w:t>Yellow Medicine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2100033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w w:val="99"/>
              </w:rPr>
              <w:t>Granite Canyon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4800018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409</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w w:val="96"/>
              </w:rPr>
              <w:t>Greeley 35th Ready Mix</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0503215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302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5"/>
              </w:rPr>
              <w:t>Greeley 35th Sand Gravel 0504613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Guernsey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4800004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Milford Quarry  Utah</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4202177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Pacific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4500844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Parkdale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0504635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0"/>
        </w:trPr>
        <w:tc>
          <w:tcPr>
            <w:tcW w:w="2080" w:type="dxa"/>
            <w:vAlign w:val="bottom"/>
          </w:tcPr>
          <w:p>
            <w:pPr>
              <w:spacing w:after="0"/>
              <w:rPr>
                <w:sz w:val="20"/>
                <w:szCs w:val="20"/>
                <w:color w:val="auto"/>
              </w:rPr>
            </w:pPr>
            <w:r>
              <w:rPr>
                <w:rFonts w:ascii="Arial" w:cs="Arial" w:eastAsia="Arial" w:hAnsi="Arial"/>
                <w:sz w:val="20"/>
                <w:szCs w:val="20"/>
                <w:color w:val="auto"/>
              </w:rPr>
              <w:t>Parsons Sand Gravel</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0504382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0"/>
        </w:trPr>
        <w:tc>
          <w:tcPr>
            <w:tcW w:w="20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52"/>
        </w:trPr>
        <w:tc>
          <w:tcPr>
            <w:tcW w:w="2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225"/>
        </w:trPr>
        <w:tc>
          <w:tcPr>
            <w:tcW w:w="2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w w:val="90"/>
              </w:rPr>
              <w:t>Penrose Sand and Gravel</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0504509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271</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Platte Sand &amp; Gravel</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0504418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Portable Crushing</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0503984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Portable Plant 1</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0504359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Portable Plant 21</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0504520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Red Canyon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0504136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Riverbend Sand Gravel</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0504841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100" w:type="dxa"/>
            <w:vAlign w:val="bottom"/>
          </w:tcPr>
          <w:p>
            <w:pPr>
              <w:spacing w:after="0" w:line="227" w:lineRule="exact"/>
              <w:rPr>
                <w:sz w:val="20"/>
                <w:szCs w:val="20"/>
                <w:color w:val="auto"/>
              </w:rPr>
            </w:pPr>
            <w:r>
              <w:rPr>
                <w:rFonts w:ascii="Arial" w:cs="Arial" w:eastAsia="Arial" w:hAnsi="Arial"/>
                <w:sz w:val="20"/>
                <w:szCs w:val="20"/>
                <w:color w:val="auto"/>
                <w:w w:val="97"/>
              </w:rPr>
              <w:t>Spanish Springs Quarry</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100" w:type="dxa"/>
            <w:vAlign w:val="bottom"/>
          </w:tcPr>
          <w:p>
            <w:pPr>
              <w:spacing w:after="0"/>
              <w:rPr>
                <w:sz w:val="20"/>
                <w:szCs w:val="20"/>
                <w:color w:val="auto"/>
              </w:rPr>
            </w:pPr>
            <w:r>
              <w:rPr>
                <w:rFonts w:ascii="Arial" w:cs="Arial" w:eastAsia="Arial" w:hAnsi="Arial"/>
                <w:sz w:val="20"/>
                <w:szCs w:val="20"/>
                <w:color w:val="auto"/>
              </w:rPr>
              <w:t>Co 2</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2600803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Spec Agg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0500860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Taft Sand Gravel</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0504526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146</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Taft Shop</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0504735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51 Sand &amp; Gravel</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4105381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Beckmann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4101335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Bedrock Sand Gravel</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4103283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Bells Savoy SG</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4104019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Black Rock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0300011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Black Spur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4104159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875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Bridgeport Stone</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4100007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Broken Bow SG</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3400460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Chico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4103360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Davis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3401299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Garfield SG</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4103909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Garwood Gravel</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4102886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GMS</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rPr>
              <w:t>C335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Gulf Coast Port #2</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4104204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Hatton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0301614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Helotes</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4103137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Highway 211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4103829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Hondo</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4104708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Hondo West</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4104090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Hugo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3400061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Hunter Cement</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4102820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w w:val="87"/>
              </w:rPr>
              <w:t>2,374</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Hunter Stone</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4105230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Idabel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3400507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Jones Mill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0301586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7"/>
        </w:trPr>
        <w:tc>
          <w:tcPr>
            <w:tcW w:w="2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52"/>
        </w:trPr>
        <w:tc>
          <w:tcPr>
            <w:tcW w:w="2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w w:val="91"/>
              </w:rPr>
              <w:t>Appendix 1</w:t>
            </w:r>
          </w:p>
        </w:tc>
      </w:tr>
      <w:tr>
        <w:trPr>
          <w:trHeight w:val="468"/>
        </w:trPr>
        <w:tc>
          <w:tcPr>
            <w:tcW w:w="2080" w:type="dxa"/>
            <w:vAlign w:val="bottom"/>
          </w:tcPr>
          <w:p>
            <w:pPr>
              <w:spacing w:after="0"/>
              <w:rPr>
                <w:sz w:val="20"/>
                <w:szCs w:val="20"/>
                <w:color w:val="auto"/>
              </w:rPr>
            </w:pPr>
            <w:r>
              <w:rPr>
                <w:rFonts w:ascii="Arial" w:cs="Arial" w:eastAsia="Arial" w:hAnsi="Arial"/>
                <w:sz w:val="20"/>
                <w:szCs w:val="20"/>
                <w:color w:val="auto"/>
              </w:rPr>
              <w:t>Koontz McCombs Pit</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4105048</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Medina Rock Rail</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4105170</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Midlothian Cement</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4100071</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Mill Creek Limestone</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3401859</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Mill Creek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3401285</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125</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Perryville Aggregates</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1601417</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Poteet Sand</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4101342</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1</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Rio Medina</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4103594</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1</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856</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San Pedro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4101337</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125</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Sawyer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3401634</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1</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257</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w w:val="98"/>
              </w:rPr>
              <w:t>Smithson Valley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4104108</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Snyder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3401651</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Tin Top SG</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4102852</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Washita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3402049</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Webberville</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4104363</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125</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w w:val="98"/>
              </w:rPr>
              <w:t>Woodworth Aggregates</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1601070</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w w:val="94"/>
              </w:rPr>
              <w:t>Geology and Exploration</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B7127</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Salisbury Shop</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3101235</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r>
      <w:tr>
        <w:trPr>
          <w:trHeight w:val="234"/>
        </w:trPr>
        <w:tc>
          <w:tcPr>
            <w:tcW w:w="2080" w:type="dxa"/>
            <w:vAlign w:val="bottom"/>
          </w:tcPr>
          <w:p>
            <w:pPr>
              <w:spacing w:after="0"/>
              <w:rPr>
                <w:sz w:val="20"/>
                <w:szCs w:val="20"/>
                <w:color w:val="auto"/>
              </w:rPr>
            </w:pPr>
            <w:r>
              <w:rPr>
                <w:rFonts w:ascii="Arial" w:cs="Arial" w:eastAsia="Arial" w:hAnsi="Arial"/>
                <w:sz w:val="20"/>
                <w:szCs w:val="20"/>
                <w:color w:val="auto"/>
              </w:rPr>
              <w:t>Woodville  Stone</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3300156</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2</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56"/>
        </w:trPr>
        <w:tc>
          <w:tcPr>
            <w:tcW w:w="208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880" w:type="dxa"/>
            <w:vAlign w:val="bottom"/>
          </w:tcPr>
          <w:p>
            <w:pPr>
              <w:spacing w:after="0"/>
              <w:rPr>
                <w:sz w:val="22"/>
                <w:szCs w:val="22"/>
                <w:color w:val="auto"/>
              </w:rPr>
            </w:pPr>
          </w:p>
        </w:tc>
        <w:tc>
          <w:tcPr>
            <w:tcW w:w="600" w:type="dxa"/>
            <w:vAlign w:val="bottom"/>
          </w:tcPr>
          <w:p>
            <w:pPr>
              <w:jc w:val="center"/>
              <w:ind w:right="61"/>
              <w:spacing w:after="0"/>
              <w:rPr>
                <w:sz w:val="20"/>
                <w:szCs w:val="20"/>
                <w:color w:val="auto"/>
              </w:rPr>
            </w:pPr>
            <w:r>
              <w:rPr>
                <w:rFonts w:ascii="Arial" w:cs="Arial" w:eastAsia="Arial" w:hAnsi="Arial"/>
                <w:sz w:val="20"/>
                <w:szCs w:val="20"/>
                <w:b w:val="1"/>
                <w:bCs w:val="1"/>
                <w:color w:val="auto"/>
                <w:w w:val="89"/>
              </w:rPr>
              <w:t>14</w:t>
            </w:r>
          </w:p>
        </w:tc>
        <w:tc>
          <w:tcPr>
            <w:tcW w:w="660" w:type="dxa"/>
            <w:vAlign w:val="bottom"/>
          </w:tcPr>
          <w:p>
            <w:pPr>
              <w:jc w:val="right"/>
              <w:ind w:right="201"/>
              <w:spacing w:after="0"/>
              <w:rPr>
                <w:sz w:val="20"/>
                <w:szCs w:val="20"/>
                <w:color w:val="auto"/>
              </w:rPr>
            </w:pPr>
            <w:r>
              <w:rPr>
                <w:rFonts w:ascii="Arial" w:cs="Arial" w:eastAsia="Arial" w:hAnsi="Arial"/>
                <w:sz w:val="20"/>
                <w:szCs w:val="20"/>
                <w:b w:val="1"/>
                <w:bCs w:val="1"/>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b w:val="1"/>
                <w:bCs w:val="1"/>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b w:val="1"/>
                <w:bCs w:val="1"/>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b w:val="1"/>
                <w:bCs w:val="1"/>
                <w:color w:val="auto"/>
              </w:rPr>
              <w:t>1</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b w:val="1"/>
                <w:bCs w:val="1"/>
                <w:color w:val="auto"/>
                <w:w w:val="88"/>
              </w:rPr>
              <w:t>16,639</w:t>
            </w:r>
          </w:p>
        </w:tc>
        <w:tc>
          <w:tcPr>
            <w:tcW w:w="500" w:type="dxa"/>
            <w:vAlign w:val="bottom"/>
          </w:tcPr>
          <w:p>
            <w:pPr>
              <w:jc w:val="right"/>
              <w:ind w:right="141"/>
              <w:spacing w:after="0"/>
              <w:rPr>
                <w:sz w:val="20"/>
                <w:szCs w:val="20"/>
                <w:color w:val="auto"/>
              </w:rPr>
            </w:pPr>
            <w:r>
              <w:rPr>
                <w:rFonts w:ascii="Arial" w:cs="Arial" w:eastAsia="Arial" w:hAnsi="Arial"/>
                <w:sz w:val="20"/>
                <w:szCs w:val="20"/>
                <w:b w:val="1"/>
                <w:bCs w:val="1"/>
                <w:color w:val="auto"/>
              </w:rPr>
              <w:t>0</w:t>
            </w: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jc w:val="right"/>
              <w:ind w:right="201"/>
              <w:spacing w:after="0"/>
              <w:rPr>
                <w:sz w:val="20"/>
                <w:szCs w:val="20"/>
                <w:color w:val="auto"/>
              </w:rPr>
            </w:pPr>
            <w:r>
              <w:rPr>
                <w:rFonts w:ascii="Arial" w:cs="Arial" w:eastAsia="Arial" w:hAnsi="Arial"/>
                <w:sz w:val="20"/>
                <w:szCs w:val="20"/>
                <w:b w:val="1"/>
                <w:bCs w:val="1"/>
                <w:color w:val="auto"/>
              </w:rPr>
              <w:t>5</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3</w:t>
            </w:r>
          </w:p>
        </w:tc>
        <w:tc>
          <w:tcPr>
            <w:tcW w:w="940" w:type="dxa"/>
            <w:vAlign w:val="bottom"/>
          </w:tcPr>
          <w:p>
            <w:pPr>
              <w:jc w:val="right"/>
              <w:ind w:right="201"/>
              <w:spacing w:after="0"/>
              <w:rPr>
                <w:sz w:val="20"/>
                <w:szCs w:val="20"/>
                <w:color w:val="auto"/>
              </w:rPr>
            </w:pPr>
            <w:r>
              <w:rPr>
                <w:rFonts w:ascii="Arial" w:cs="Arial" w:eastAsia="Arial" w:hAnsi="Arial"/>
                <w:sz w:val="20"/>
                <w:szCs w:val="20"/>
                <w:b w:val="1"/>
                <w:bCs w:val="1"/>
                <w:color w:val="auto"/>
              </w:rPr>
              <w:t>5</w:t>
            </w:r>
          </w:p>
        </w:tc>
      </w:tr>
    </w:tbl>
    <w:p>
      <w:pPr>
        <w:spacing w:after="0" w:line="195" w:lineRule="exact"/>
        <w:rPr>
          <w:sz w:val="20"/>
          <w:szCs w:val="20"/>
          <w:color w:val="auto"/>
        </w:rPr>
      </w:pPr>
    </w:p>
    <w:p>
      <w:pPr>
        <w:jc w:val="both"/>
        <w:ind w:firstLine="8"/>
        <w:spacing w:after="0" w:line="244" w:lineRule="auto"/>
        <w:tabs>
          <w:tab w:leader="none" w:pos="153" w:val="left"/>
        </w:tabs>
        <w:numPr>
          <w:ilvl w:val="0"/>
          <w:numId w:val="23"/>
        </w:numPr>
        <w:rPr>
          <w:rFonts w:ascii="Arial" w:cs="Arial" w:eastAsia="Arial" w:hAnsi="Arial"/>
          <w:sz w:val="20"/>
          <w:szCs w:val="20"/>
          <w:color w:val="auto"/>
        </w:rPr>
      </w:pPr>
      <w:r>
        <w:rPr>
          <w:rFonts w:ascii="Arial" w:cs="Arial" w:eastAsia="Arial" w:hAnsi="Arial"/>
          <w:sz w:val="20"/>
          <w:szCs w:val="20"/>
          <w:color w:val="auto"/>
        </w:rPr>
        <w:t>Of the five legal actions pending on March 31, 2021, two were contests of citations or orders referenced in Subpart B of CFR Part 2700, which includes contests of citations and orders issued under Section 104 of the Mine Act and contests of imminent danger orders under Section 107 of the Mine Act, and three were a contest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5"/>
    </w:lvl>
  </w:abstractNum>
  <w:abstractNum w:abstractNumId="5">
    <w:nsid w:val="7FDCC233"/>
    <w:multiLevelType w:val="hybridMultilevel"/>
    <w:lvl w:ilvl="0">
      <w:lvlJc w:val="left"/>
      <w:lvlText w:val="%1."/>
      <w:numFmt w:val="decimal"/>
      <w:start w:val="6"/>
    </w:lvl>
  </w:abstractNum>
  <w:abstractNum w:abstractNumId="6">
    <w:nsid w:val="1BEFD79F"/>
    <w:multiLevelType w:val="hybridMultilevel"/>
    <w:lvl w:ilvl="0">
      <w:lvlJc w:val="left"/>
      <w:lvlText w:val="%1."/>
      <w:numFmt w:val="decimal"/>
      <w:start w:val="8"/>
    </w:lvl>
  </w:abstractNum>
  <w:abstractNum w:abstractNumId="7">
    <w:nsid w:val="41A7C4C9"/>
    <w:multiLevelType w:val="hybridMultilevel"/>
    <w:lvl w:ilvl="0">
      <w:lvlJc w:val="left"/>
      <w:lvlText w:val="%1."/>
      <w:numFmt w:val="decimal"/>
      <w:start w:val="10"/>
    </w:lvl>
  </w:abstractNum>
  <w:abstractNum w:abstractNumId="8">
    <w:nsid w:val="6B68079A"/>
    <w:multiLevelType w:val="hybridMultilevel"/>
    <w:lvl w:ilvl="0">
      <w:lvlJc w:val="left"/>
      <w:lvlText w:val="%1."/>
      <w:numFmt w:val="decimal"/>
      <w:start w:val="12"/>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95"/>
    </w:lvl>
  </w:abstractNum>
  <w:abstractNum w:abstractNumId="13">
    <w:nsid w:val="3F2DBA31"/>
    <w:multiLevelType w:val="hybridMultilevel"/>
    <w:lvl w:ilvl="0">
      <w:lvlJc w:val="left"/>
      <w:lvlText w:val="%1"/>
      <w:numFmt w:val="decimal"/>
      <w:start w:val="104"/>
    </w:lvl>
  </w:abstractNum>
  <w:abstractNum w:abstractNumId="14">
    <w:nsid w:val="7C83E458"/>
    <w:multiLevelType w:val="hybridMultilevel"/>
    <w:lvl w:ilvl="0">
      <w:lvlJc w:val="left"/>
      <w:lvlText w:val="%1."/>
      <w:numFmt w:val="decimal"/>
      <w:start w:val="1"/>
    </w:lvl>
    <w:lvl w:ilvl="1">
      <w:lvlJc w:val="left"/>
      <w:lvlText w:val="%2."/>
      <w:numFmt w:val="lowerLetter"/>
      <w:start w:val="1"/>
    </w:lvl>
  </w:abstractNum>
  <w:abstractNum w:abstractNumId="15">
    <w:nsid w:val="257130A3"/>
    <w:multiLevelType w:val="hybridMultilevel"/>
    <w:lvl w:ilvl="0">
      <w:lvlJc w:val="left"/>
      <w:lvlText w:val="%1."/>
      <w:numFmt w:val="decimal"/>
      <w:start w:val="5"/>
    </w:lvl>
    <w:lvl w:ilvl="1">
      <w:lvlJc w:val="left"/>
      <w:lvlText w:val="%2."/>
      <w:numFmt w:val="lowerLetter"/>
      <w:start w:val="1"/>
    </w:lvl>
  </w:abstractNum>
  <w:abstractNum w:abstractNumId="16">
    <w:nsid w:val="62BBD95A"/>
    <w:multiLevelType w:val="hybridMultilevel"/>
    <w:lvl w:ilvl="0">
      <w:lvlJc w:val="left"/>
      <w:lvlText w:val="%1."/>
      <w:numFmt w:val="decimal"/>
      <w:start w:val="1"/>
    </w:lvl>
    <w:lvl w:ilvl="1">
      <w:lvlJc w:val="left"/>
      <w:lvlText w:val="%2."/>
      <w:numFmt w:val="lowerLetter"/>
      <w:start w:val="1"/>
    </w:lvl>
  </w:abstractNum>
  <w:abstractNum w:abstractNumId="17">
    <w:nsid w:val="436C6125"/>
    <w:multiLevelType w:val="hybridMultilevel"/>
    <w:lvl w:ilvl="0">
      <w:lvlJc w:val="left"/>
      <w:lvlText w:val="%1."/>
      <w:numFmt w:val="decimal"/>
      <w:start w:val="5"/>
    </w:lvl>
    <w:lvl w:ilvl="1">
      <w:lvlJc w:val="left"/>
      <w:lvlText w:val="%2."/>
      <w:numFmt w:val="lowerLetter"/>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2021-05-04T13:08:46Z</dcterms:created>
  <dcterms:modified xsi:type="dcterms:W3CDTF">2021-05-04T13:08:46Z</dcterms:modified>
</cp:coreProperties>
</file>