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14a-101)</w:t>
      </w:r>
    </w:p>
    <w:p>
      <w:pPr>
        <w:spacing w:after="0" w:line="159"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71"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9"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6"/>
          <w:szCs w:val="16"/>
          <w:b w:val="1"/>
          <w:bCs w:val="1"/>
          <w:color w:val="auto"/>
        </w:rPr>
        <w:t>Exchange Act of 1934 (Amendment No.</w:t>
      </w:r>
      <w:r>
        <w:rPr>
          <w:sz w:val="20"/>
          <w:szCs w:val="20"/>
          <w:color w:val="auto"/>
        </w:rPr>
        <w:tab/>
      </w:r>
      <w:r>
        <w:rPr>
          <w:rFonts w:ascii="Arial" w:cs="Arial" w:eastAsia="Arial" w:hAnsi="Arial"/>
          <w:sz w:val="12"/>
          <w:szCs w:val="12"/>
          <w:b w:val="1"/>
          <w:bCs w:val="1"/>
          <w:color w:val="auto"/>
        </w:rPr>
        <w:t>)</w:t>
      </w:r>
    </w:p>
    <w:p>
      <w:pPr>
        <w:spacing w:after="0" w:line="155"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right="5220" w:firstLine="8"/>
        <w:spacing w:after="0" w:line="216" w:lineRule="exact"/>
        <w:tabs>
          <w:tab w:leader="none" w:pos="47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9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480" w:hanging="472"/>
        <w:spacing w:after="0" w:line="268" w:lineRule="auto"/>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5" w:lineRule="exact"/>
        <w:rPr>
          <w:rFonts w:ascii="MS PGothic" w:cs="MS PGothic" w:eastAsia="MS PGothic" w:hAnsi="MS PGothic"/>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-4121785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-3701415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-3143885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-2724150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-2338070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-1883410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16" w:lineRule="exact"/>
        <w:rPr>
          <w:sz w:val="20"/>
          <w:szCs w:val="20"/>
          <w:color w:val="auto"/>
        </w:rPr>
      </w:pPr>
    </w:p>
    <w:p>
      <w:pPr>
        <w:jc w:val="center"/>
        <w:ind w:left="1700" w:right="1699"/>
        <w:spacing w:after="0" w:line="256" w:lineRule="auto"/>
        <w:rPr>
          <w:sz w:val="20"/>
          <w:szCs w:val="20"/>
          <w:color w:val="auto"/>
        </w:rPr>
      </w:pPr>
      <w:r>
        <w:rPr>
          <w:rFonts w:ascii="Arial" w:cs="Arial" w:eastAsia="Arial" w:hAnsi="Arial"/>
          <w:sz w:val="64"/>
          <w:szCs w:val="64"/>
          <w:b w:val="1"/>
          <w:bCs w:val="1"/>
          <w:color w:val="auto"/>
        </w:rPr>
        <w:t>Notice of 2015 Annual Meeting of Shareholders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171450</wp:posOffset>
            </wp:positionV>
            <wp:extent cx="2263775" cy="660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63775" cy="660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15060"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25755"/>
                    </a:xfrm>
                    <a:prstGeom prst="rect">
                      <a:avLst/>
                    </a:prstGeom>
                    <a:noFill/>
                  </pic:spPr>
                </pic:pic>
              </a:graphicData>
            </a:graphic>
          </wp:anchor>
        </w:drawing>
        <w:t>April 16, 2015</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Directors and Officers of Martin Marietta Materials, Inc. join me in inviting you to attend Martin Marietta’s Annual Meeting of Shareholders on May 21, 2015. The formal notice of this meeting and the proxy statement describing the matters to be acted upon at the meeting accompany this letter.</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Your vote is important. Whether or not you plan to attend the Annual Meeting in person, we encourage you to vote so that your shares will be represented and voted at the meeting.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Martin Marietta.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191895"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918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Howard Nye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of the Board,</w:t>
      </w:r>
    </w:p>
    <w:p>
      <w:pPr>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048" w:right="239" w:bottom="1440" w:gutter="0" w:footer="0" w:header="0"/>
        </w:sectPr>
      </w:pPr>
    </w:p>
    <w:bookmarkStart w:id="3" w:name="page4"/>
    <w:bookmarkEnd w:id="3"/>
    <w:p>
      <w:pPr>
        <w:ind w:left="4140"/>
        <w:spacing w:after="0"/>
        <w:rPr>
          <w:sz w:val="20"/>
          <w:szCs w:val="20"/>
          <w:color w:val="auto"/>
        </w:rPr>
      </w:pPr>
      <w:r>
        <w:rPr>
          <w:rFonts w:ascii="Arial" w:cs="Arial" w:eastAsia="Arial" w:hAnsi="Arial"/>
          <w:sz w:val="18"/>
          <w:szCs w:val="18"/>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MARTIN MARIETTA MATERIALS, INC.</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47829E"/>
        </w:rPr>
        <w:t>2710 Wycliff Road, Raleigh, North Carolina 27607</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7829E"/>
        </w:rPr>
        <w:t>Notice of Annual Meeting of Shareholders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7829E"/>
        </w:rPr>
        <w:t>To Be Held May 21, 2015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Annual Meeting of Shareholders of Martin Marietta Materials, Inc. will be held on Thursday, May 21, 2015, at 11:30 a.m. at our principal office located at 2710 Wycliff Road, Raleigh, North Carolina. At the meeting, the holders of our outstanding common stock will act on the following matters:</w:t>
      </w:r>
    </w:p>
    <w:p>
      <w:pPr>
        <w:spacing w:after="0" w:line="195" w:lineRule="exact"/>
        <w:rPr>
          <w:sz w:val="20"/>
          <w:szCs w:val="20"/>
          <w:color w:val="auto"/>
        </w:rPr>
      </w:pPr>
    </w:p>
    <w:p>
      <w:pPr>
        <w:ind w:left="900" w:hanging="446"/>
        <w:spacing w:after="0" w:line="23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as Directors the four (4) nominees named in the attached proxy statement, each to serve for a term of three (3) years until the Annual Meeting of Shareholders in 2018, and until their successors are duly elected and qualified;</w:t>
      </w:r>
    </w:p>
    <w:p>
      <w:pPr>
        <w:spacing w:after="0" w:line="19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independent auditors for 2015;</w:t>
      </w:r>
    </w:p>
    <w:p>
      <w:pPr>
        <w:spacing w:after="0" w:line="198"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by a non-binding advisory vote, the compensation of our named executive officers; and</w:t>
      </w:r>
    </w:p>
    <w:p>
      <w:pPr>
        <w:spacing w:after="0" w:line="198"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business as may properly come before the meeting.</w:t>
      </w:r>
    </w:p>
    <w:p>
      <w:pPr>
        <w:spacing w:after="0" w:line="1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All holders of record of Martin Marietta common stock (NYSE: MLM) at the close of business on March 13, 2015 are entitled to notice of and to vote at the annual meeting and any adjournments or postponements of the meeting.</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Whether or not you expect to attend the meeting, we hope you will date and sign the enclosed proxy card and mail it promptly in the enclosed stamped envelope.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620520" cy="600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2052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Roselyn R. Bar</w:t>
      </w:r>
    </w:p>
    <w:p>
      <w:pPr>
        <w:spacing w:after="0" w:line="234" w:lineRule="auto"/>
        <w:rPr>
          <w:sz w:val="20"/>
          <w:szCs w:val="20"/>
          <w:color w:val="auto"/>
        </w:rPr>
      </w:pPr>
      <w:r>
        <w:rPr>
          <w:rFonts w:ascii="Arial" w:cs="Arial" w:eastAsia="Arial" w:hAnsi="Arial"/>
          <w:sz w:val="18"/>
          <w:szCs w:val="18"/>
          <w:i w:val="1"/>
          <w:iCs w:val="1"/>
          <w:color w:val="auto"/>
        </w:rPr>
        <w:t>Senior Vice President, General</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Counsel and Secretary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rPr>
          <w:sz w:val="20"/>
          <w:szCs w:val="20"/>
          <w:color w:val="auto"/>
        </w:rPr>
      </w:pPr>
      <w:r>
        <w:rPr>
          <w:rFonts w:ascii="Arial" w:cs="Arial" w:eastAsia="Arial" w:hAnsi="Arial"/>
          <w:sz w:val="18"/>
          <w:szCs w:val="18"/>
          <w:color w:val="auto"/>
        </w:rPr>
        <w:t>April 16, 2015</w:t>
      </w:r>
    </w:p>
    <w:p>
      <w:pPr>
        <w:spacing w:after="0" w:line="136" w:lineRule="exact"/>
        <w:rPr>
          <w:sz w:val="20"/>
          <w:szCs w:val="20"/>
          <w:color w:val="auto"/>
        </w:rPr>
      </w:pPr>
    </w:p>
    <w:p>
      <w:pPr>
        <w:jc w:val="center"/>
        <w:ind w:left="260" w:right="220"/>
        <w:spacing w:after="0" w:line="264" w:lineRule="auto"/>
        <w:rPr>
          <w:sz w:val="20"/>
          <w:szCs w:val="20"/>
          <w:color w:val="auto"/>
        </w:rPr>
      </w:pPr>
      <w:r>
        <w:rPr>
          <w:rFonts w:ascii="Arial" w:cs="Arial" w:eastAsia="Arial" w:hAnsi="Arial"/>
          <w:sz w:val="18"/>
          <w:szCs w:val="18"/>
          <w:b w:val="1"/>
          <w:bCs w:val="1"/>
          <w:color w:val="auto"/>
        </w:rPr>
        <w:t>IMPORTANT NOTICE REGARDING THE AVAILABILITY OF PROXY MATERIALS FOR THE ANNUAL SHAREHOLDER MEETING TO BE HELD ON MAY 21, 2015</w:t>
      </w:r>
    </w:p>
    <w:p>
      <w:pPr>
        <w:spacing w:after="0" w:line="1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Martin Marietta’s proxy statement, form of proxy card and 2014 Annual Report to Shareholders are also available for review on the Internet at </w:t>
      </w:r>
      <w:r>
        <w:rPr>
          <w:rFonts w:ascii="Arial" w:cs="Arial" w:eastAsia="Arial" w:hAnsi="Arial"/>
          <w:sz w:val="18"/>
          <w:szCs w:val="18"/>
          <w:i w:val="1"/>
          <w:iCs w:val="1"/>
          <w:color w:val="auto"/>
        </w:rPr>
        <w:t>ir.martinmarietta.com/reports.cfm</w:t>
      </w:r>
      <w:r>
        <w:rPr>
          <w:rFonts w:ascii="Arial" w:cs="Arial" w:eastAsia="Arial" w:hAnsi="Arial"/>
          <w:sz w:val="18"/>
          <w:szCs w:val="18"/>
          <w:color w:val="auto"/>
        </w:rPr>
        <w:t>.</w:t>
      </w:r>
    </w:p>
    <w:p>
      <w:pPr>
        <w:sectPr>
          <w:pgSz w:w="11900" w:h="16838" w:orient="portrait"/>
          <w:cols w:equalWidth="0" w:num="1">
            <w:col w:w="11420"/>
          </w:cols>
          <w:pgMar w:left="240" w:top="26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4"/>
          <w:szCs w:val="24"/>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GENERAL INFORMATION</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proxy statement contains information related to the annual meeting of shareholders of Martin Marietta Materials, Inc., a North Carolina corporation, to be held on Thursday, May 21, 2015, at 11:30 a.m. at Martin Marietta’s principal office, 2710 Wycliff Road, Raleigh, North Carolina. Martin Marietta’s audited financial statements and portions of the Annual Report on Form 10-K for the fiscal year ended December 31, 2014 are being mailed to shareholders with this proxy statement.</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proxy statement, the proxy card, and the notice of meeting are being sent commencing on approximately April 16, 2015 to shareholders of record on March 13,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purpose of the annual meeting?</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our annual meeting, shareholders will act on the matters outlined in the accompanying notice of annual meeting of shareholders. This statement is furnished in connection with the solicitation by Martin Marietta’s Board of Directors of proxies to be used at the meeting and at any and all adjournments or postponements of the meeting.</w:t>
      </w:r>
    </w:p>
    <w:p>
      <w:pPr>
        <w:spacing w:after="0" w:line="154" w:lineRule="exact"/>
        <w:rPr>
          <w:sz w:val="20"/>
          <w:szCs w:val="20"/>
          <w:color w:val="auto"/>
        </w:rPr>
      </w:pPr>
    </w:p>
    <w:p>
      <w:pPr>
        <w:ind w:right="1500"/>
        <w:spacing w:after="0" w:line="422" w:lineRule="auto"/>
        <w:rPr>
          <w:sz w:val="20"/>
          <w:szCs w:val="20"/>
          <w:color w:val="auto"/>
        </w:rPr>
      </w:pPr>
      <w:r>
        <w:rPr>
          <w:rFonts w:ascii="Arial" w:cs="Arial" w:eastAsia="Arial" w:hAnsi="Arial"/>
          <w:sz w:val="18"/>
          <w:szCs w:val="18"/>
          <w:color w:val="auto"/>
        </w:rPr>
        <w:t xml:space="preserve">Whether or not you plan to attend the meeting, we encourage you to date, sign, and return your proxy in the enclosed envelope. </w:t>
      </w:r>
      <w:r>
        <w:rPr>
          <w:rFonts w:ascii="Arial" w:cs="Arial" w:eastAsia="Arial" w:hAnsi="Arial"/>
          <w:sz w:val="18"/>
          <w:szCs w:val="18"/>
          <w:b w:val="1"/>
          <w:bCs w:val="1"/>
          <w:i w:val="1"/>
          <w:iCs w:val="1"/>
          <w:color w:val="auto"/>
        </w:rPr>
        <w:t>Who is entitled to vote at the meeting?</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Only shareholders of record at the close of business on March 13, 2015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voting rights of the holders of Martin Marietta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Each share of Martin Marietta common stock is entitled to one vote on each matter considered at the meeting.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attend the meeting?</w:t>
      </w:r>
    </w:p>
    <w:p>
      <w:pPr>
        <w:spacing w:after="0" w:line="17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All shareholders as of the record date, or their duly appointed proxies, beneficial owners presenting satisfactory evidence of ownership as of the record date, and invited guests of Martin Marietta may attend the meeting.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presence at the meeting, in person or by proxy, of the holders of a majority of the common stock outstanding on the record date constitutes a quorum, permitting shareholders to take action at the meeting. On March 13, 2015, there were 67,306,852 shares outstanding of Martin Marietta’s common stock, $.01 par value per share.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will oversee the voting results?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Votes cast by proxy or in person at the annual meeting will be tabulated by an independent inspector of election appointed by Martin Marietta’s Board of Directors for the annual meeting from American Stock Transfer &amp; Trust Company, Martin Marietta’s transfer agent. The inspector of election will determine whether a quorum is present. For purposes of determining the presence of a quorum, abstentions and broker non-votes (which are described below) will be counted as shares that are present and entitled to vote.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If you complete and properly sign the accompanying proxy card and return it to Martin Marietta,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9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 I change my vote after I return my proxy card?</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Yes. Even after you have submitted your vote, you may revoke your proxy at any time prior to its exercise at the annual meeting (i) by filing with Martin Marietta’s Corporate Secretary an instrument revoking the proxy prior to the meeting, (ii) by the timely delivery to Martin Marietta’s Corporate Secretary, including at the meeting, of a subsequently dated and executed proxy, or (iii) if you attend the meeting, by voting your shares in person. Attendance at the meeting will not in and of itself constitute a revocation of a proxy.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 my 401(k) shares?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Each participant in Martin Marietta’s Savings and Investment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my broker vote my shares for me if I do not give voting instructions? What are “broker non-votes”?</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Brokers holding shares for beneficial owners must vote those shares according to the specific instructions they receive from the beneficial owners. If specific instructions are not received, brokers may generally vote these shares at their discretion. However, the New York Stock Exchange rules preclude brokers from exercising their voting discretion on certain proposals, such as the election of Directors or executive compensation matters. In such cases, absent specific instructions from the beneficial owner, the broker may not vote on those proposals. This results in what is known as a “broker non-vote.” The approval of the ratification of the appointment of independent auditors is not a proposal subject to this rule. Accordingly, if you want your broker to vote your shares on the election of Directors or the approval on an advisory basis of the compensation of our named executive officers, you must provide specific voting instructions to your broker. Conversely, any broker holding shares for you may vote your shares at their discretion with respect to the ratification of the appointment of independent auditors unless you give them specific instructions on how you wish for them to vote.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Martin Marietta amended its articles of incorporation following the 2013 annual meeting of shareholders to provide for majority voting in the election of Directors. As a result, in an uncontested Director election (</w:t>
      </w:r>
      <w:r>
        <w:rPr>
          <w:rFonts w:ascii="Arial" w:cs="Arial" w:eastAsia="Arial" w:hAnsi="Arial"/>
          <w:sz w:val="18"/>
          <w:szCs w:val="18"/>
          <w:i w:val="1"/>
          <w:iCs w:val="1"/>
          <w:color w:val="auto"/>
        </w:rPr>
        <w:t>i.e.</w:t>
      </w:r>
      <w:r>
        <w:rPr>
          <w:rFonts w:ascii="Arial" w:cs="Arial" w:eastAsia="Arial" w:hAnsi="Arial"/>
          <w:sz w:val="18"/>
          <w:szCs w:val="18"/>
          <w:color w:val="auto"/>
        </w:rPr>
        <w:t>, an election where the only nominees are those proposed by our Board of Directors, such as at the 2015 annual meeting), Directors are elected by a majority of the votes cast by holders of our common stock present in person or by proxy at the meeting. For purposes of uncontested Director elections, a majority of votes cast means that the number of votes cast “for” a nominee’s election exceeds the number of votes cast “against” that nominee’s election. Abstentions and broker non-votes will not be counted as votes cast in the election of Directors and will have no effect on the outcome of the election of Directors.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North Carolina law, if an incumbent director is not re-elected at an annual meeting of shareholders, then, even though his or her term has expired, the incumbent director continues to serve in office as a holdover director until his or her successor is elected or until there is a decrease in the number of directors. North Carolina law further provides that if the shareholders fail to elect the full authorized number of directors, a board of directors may fill the vacancy by electing a successor. Accordingly, Martin Marietta’s articles of incorporation provide that if a nominee is not elected by a vote of the majority of the votes cast with respect to that nominee’s election, the Board of Directors may decrease the number of Directors, fill any vacancy or take other appropriate action.</w:t>
      </w:r>
    </w:p>
    <w:p>
      <w:pPr>
        <w:spacing w:after="0" w:line="15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Approval of the ratification of the selection of independent auditors, the approval on an advisory basis of the compensation of our named executive officers, and any other proposal presented at the meeting, will be approved if more votes are cast by proxy or in person in favor of the proposal than are cast against it. Abstentions and broker non-votes, if any, will not be counted “for” or “against” any of these proposals.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voting results for the Annual Meeting?</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will announce preliminary voting results at the conclusion of the meeting and publish final results in a Current Report on Form 8-K filed with the Securities and Exchange Commission within four business days after the annual meeting.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can I find out more information about Martin Marietta?</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Martin Marietta maintains a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 xml:space="preserve"> where you can find additional information about Martin Marietta. Visitors to the website can view and print copies of Martin Marietta’s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xml:space="preserve">, as well as our </w:t>
      </w:r>
      <w:r>
        <w:rPr>
          <w:rFonts w:ascii="Arial" w:cs="Arial" w:eastAsia="Arial" w:hAnsi="Arial"/>
          <w:sz w:val="18"/>
          <w:szCs w:val="18"/>
          <w:i w:val="1"/>
          <w:iCs w:val="1"/>
          <w:color w:val="auto"/>
        </w:rPr>
        <w:t>Code of Ethical Business Conduct</w:t>
      </w:r>
      <w:r>
        <w:rPr>
          <w:rFonts w:ascii="Arial" w:cs="Arial" w:eastAsia="Arial" w:hAnsi="Arial"/>
          <w:sz w:val="18"/>
          <w:szCs w:val="18"/>
          <w:color w:val="auto"/>
        </w:rPr>
        <w:t xml:space="preserve"> are all available through the website. Alternatively, </w:t>
      </w:r>
      <w:r>
        <w:rPr>
          <w:rFonts w:ascii="Arial" w:cs="Arial" w:eastAsia="Arial" w:hAnsi="Arial"/>
          <w:sz w:val="18"/>
          <w:szCs w:val="18"/>
          <w:b w:val="1"/>
          <w:bCs w:val="1"/>
          <w:i w:val="1"/>
          <w:iCs w:val="1"/>
          <w:color w:val="auto"/>
        </w:rPr>
        <w:t>our shareholders and other interested parties may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obtain, without charge, copies of all of these documents by writing to the Corporate Secretary, Martin Marietta, 2710 Wycliff Road, Raleigh, NC 27607</w:t>
      </w:r>
      <w:r>
        <w:rPr>
          <w:rFonts w:ascii="Arial" w:cs="Arial" w:eastAsia="Arial" w:hAnsi="Arial"/>
          <w:sz w:val="18"/>
          <w:szCs w:val="18"/>
          <w:color w:val="auto"/>
        </w:rPr>
        <w:t>. Please note that the information contained on Martin Marietta’s website is not incorporated by reference in, or considered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 part of, this document.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paying for this proxy statement?</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entire cost of preparing, assembling, printing, and mailing the Notice of Meeting, this proxy statement, and proxies, and the cost of soliciting proxies relating to the meeting, if any, has been or will be paid by Martin Marietta. In addition to use of the mail, proxies may be solicited by Directors, officers, and other regular employees of Martin Marietta by telephone, facsimile, or personal solicitation, and no additional compensation will be paid to such individuals. Martin Marietta will use the services of Morrow &amp; Co., LLC, 470 West Avenue, Stamford, CT 06902, a professional soliciting organization, to assist in obtaining in person or by proxy shareholder votes. Martin Marietta estimates its expenses for solicitation services will not exceed $10,000. Martin Marietta will, if requested, reimburse banks, brokerage houses and other custodians, nominees and certain fiduciaries for their reasonable expenses incurred in mailing proxy materials to their principals.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any other matters be presented at the annual meeting?</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 recommendation of the Board of Directors, or, if no recommendation is given, in their own discretion. It is also intended that discretionary authority will be exercised with respect to the vote on any matters incident to the conduct of the meeting.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Board’s recommendations?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Unless you give other instructions on your proxy card, the persons named as proxy holders on the proxy card will vote in accordance with the recommendations of the Board of Directors. The Board’s recommendation, as well as a description of each proposal, is set forth in this proxy statement. The Board recommends a vote:</w:t>
      </w:r>
    </w:p>
    <w:p>
      <w:pPr>
        <w:spacing w:after="0" w:line="173"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nominated slate of Directors;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Ernst &amp; Young LLP as independent auditors; and</w:t>
      </w:r>
    </w:p>
    <w:p>
      <w:pPr>
        <w:spacing w:after="0" w:line="7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by a non-binding advisory vote, of the compensation of our named executive officers as described in this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w:t>
      </w:r>
    </w:p>
    <w:p>
      <w:pPr>
        <w:spacing w:after="0" w:line="1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With respect to any other matter that properly comes before the meeting, the proxy holders will vote as recommended by the Board of Directors or, if no recommendation is given, in their own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660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66040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SHAREHOLDERS TO BE HELD ON MAY 21, 2015</w:t>
      </w:r>
    </w:p>
    <w:p>
      <w:pPr>
        <w:spacing w:after="0" w:line="136" w:lineRule="exact"/>
        <w:rPr>
          <w:sz w:val="20"/>
          <w:szCs w:val="20"/>
          <w:color w:val="auto"/>
        </w:rPr>
      </w:pPr>
    </w:p>
    <w:p>
      <w:pPr>
        <w:ind w:left="120" w:right="120"/>
        <w:spacing w:after="0" w:line="264" w:lineRule="auto"/>
        <w:rPr>
          <w:sz w:val="20"/>
          <w:szCs w:val="20"/>
          <w:color w:val="auto"/>
        </w:rPr>
      </w:pPr>
      <w:r>
        <w:rPr>
          <w:rFonts w:ascii="Arial" w:cs="Arial" w:eastAsia="Arial" w:hAnsi="Arial"/>
          <w:sz w:val="18"/>
          <w:szCs w:val="18"/>
          <w:b w:val="1"/>
          <w:bCs w:val="1"/>
          <w:color w:val="auto"/>
        </w:rPr>
        <w:t xml:space="preserve">THIS PROXY STATEMENT, FORM OF PROXY CARD AND THE ACCOMPANYING ANNUAL REPORT ARE ALSO AVAILABLE AT </w:t>
      </w:r>
      <w:r>
        <w:rPr>
          <w:rFonts w:ascii="Arial" w:cs="Arial" w:eastAsia="Arial" w:hAnsi="Arial"/>
          <w:sz w:val="18"/>
          <w:szCs w:val="18"/>
          <w:b w:val="1"/>
          <w:bCs w:val="1"/>
          <w:i w:val="1"/>
          <w:iCs w:val="1"/>
          <w:color w:val="auto"/>
        </w:rPr>
        <w:t>IR.MARTINMARIETTA.COM/REPORTS.CFM</w:t>
      </w:r>
      <w:r>
        <w:rPr>
          <w:rFonts w:ascii="Arial" w:cs="Arial" w:eastAsia="Arial" w:hAnsi="Arial"/>
          <w:sz w:val="18"/>
          <w:szCs w:val="18"/>
          <w:b w:val="1"/>
          <w:bCs w:val="1"/>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7829E"/>
        </w:rPr>
        <w:t>BENEFICIAL OWNERS AND MANAGEMENT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largest owners of Martin Marietta’s stock?</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following table sets forth information with respect to the shares of common stock which are held by persons known to Martin Marietta to be the beneficial owners of more than 5% of such stock as of March 13, 2015. To the best of Martin Marietta’s knowledge, based on filings with the Securities and Exchange Commission as noted below, no person beneficially owned more than 5% of any class of Martin Marietta’s outstanding voting securities at the close of business on March 13, 2015, except for those shown below.</w:t>
      </w:r>
    </w:p>
    <w:p>
      <w:pPr>
        <w:spacing w:after="0" w:line="180" w:lineRule="exact"/>
        <w:rPr>
          <w:sz w:val="20"/>
          <w:szCs w:val="20"/>
          <w:color w:val="auto"/>
        </w:rPr>
      </w:pPr>
    </w:p>
    <w:tbl>
      <w:tblPr>
        <w:tblLayout w:type="fixed"/>
        <w:tblInd w:w="770" w:type="dxa"/>
        <w:tblCellMar>
          <w:top w:w="0" w:type="dxa"/>
          <w:left w:w="0" w:type="dxa"/>
          <w:bottom w:w="0" w:type="dxa"/>
          <w:right w:w="0" w:type="dxa"/>
        </w:tblCellMar>
      </w:tblPr>
      <w:tr>
        <w:trPr>
          <w:trHeight w:val="161"/>
        </w:trPr>
        <w:tc>
          <w:tcPr>
            <w:tcW w:w="5940" w:type="dxa"/>
            <w:vAlign w:val="bottom"/>
            <w:tcBorders>
              <w:left w:val="single" w:sz="8" w:color="47829E"/>
              <w:right w:val="single" w:sz="8" w:color="47829E"/>
            </w:tcBorders>
            <w:shd w:val="clear" w:color="auto" w:fill="47829E"/>
          </w:tcPr>
          <w:p>
            <w:pPr>
              <w:ind w:left="120"/>
              <w:spacing w:after="0"/>
              <w:rPr>
                <w:sz w:val="20"/>
                <w:szCs w:val="20"/>
                <w:color w:val="auto"/>
              </w:rPr>
            </w:pPr>
            <w:r>
              <w:rPr>
                <w:rFonts w:ascii="Arial" w:cs="Arial" w:eastAsia="Arial" w:hAnsi="Arial"/>
                <w:sz w:val="14"/>
                <w:szCs w:val="14"/>
                <w:b w:val="1"/>
                <w:bCs w:val="1"/>
                <w:color w:val="FFFFFF"/>
              </w:rPr>
              <w:t>Name and Address</w:t>
            </w:r>
          </w:p>
        </w:tc>
        <w:tc>
          <w:tcPr>
            <w:tcW w:w="2100" w:type="dxa"/>
            <w:vAlign w:val="bottom"/>
            <w:tcBorders>
              <w:right w:val="single" w:sz="8" w:color="47829E"/>
            </w:tcBorders>
            <w:shd w:val="clear" w:color="auto" w:fill="47829E"/>
          </w:tcPr>
          <w:p>
            <w:pPr>
              <w:jc w:val="right"/>
              <w:ind w:right="358"/>
              <w:spacing w:after="0"/>
              <w:rPr>
                <w:sz w:val="20"/>
                <w:szCs w:val="20"/>
                <w:color w:val="auto"/>
              </w:rPr>
            </w:pPr>
            <w:r>
              <w:rPr>
                <w:rFonts w:ascii="Arial" w:cs="Arial" w:eastAsia="Arial" w:hAnsi="Arial"/>
                <w:sz w:val="14"/>
                <w:szCs w:val="14"/>
                <w:b w:val="1"/>
                <w:bCs w:val="1"/>
                <w:color w:val="FFFFFF"/>
              </w:rPr>
              <w:t>Amount and Nature</w:t>
            </w:r>
          </w:p>
        </w:tc>
        <w:tc>
          <w:tcPr>
            <w:tcW w:w="1900" w:type="dxa"/>
            <w:vAlign w:val="bottom"/>
            <w:tcBorders>
              <w:right w:val="single" w:sz="8" w:color="47829E"/>
            </w:tcBorders>
            <w:shd w:val="clear" w:color="auto" w:fill="47829E"/>
          </w:tcPr>
          <w:p>
            <w:pPr>
              <w:ind w:left="560"/>
              <w:spacing w:after="0"/>
              <w:rPr>
                <w:sz w:val="20"/>
                <w:szCs w:val="20"/>
                <w:color w:val="auto"/>
              </w:rPr>
            </w:pPr>
            <w:r>
              <w:rPr>
                <w:rFonts w:ascii="Arial" w:cs="Arial" w:eastAsia="Arial" w:hAnsi="Arial"/>
                <w:sz w:val="14"/>
                <w:szCs w:val="14"/>
                <w:b w:val="1"/>
                <w:bCs w:val="1"/>
                <w:color w:val="FFFFFF"/>
              </w:rPr>
              <w:t>Percent</w:t>
            </w:r>
          </w:p>
        </w:tc>
        <w:tc>
          <w:tcPr>
            <w:tcW w:w="0" w:type="dxa"/>
            <w:vAlign w:val="bottom"/>
          </w:tcPr>
          <w:p>
            <w:pPr>
              <w:spacing w:after="0"/>
              <w:rPr>
                <w:sz w:val="1"/>
                <w:szCs w:val="1"/>
                <w:color w:val="auto"/>
              </w:rPr>
            </w:pPr>
          </w:p>
        </w:tc>
      </w:tr>
      <w:tr>
        <w:trPr>
          <w:trHeight w:val="176"/>
        </w:trPr>
        <w:tc>
          <w:tcPr>
            <w:tcW w:w="5940" w:type="dxa"/>
            <w:vAlign w:val="bottom"/>
            <w:tcBorders>
              <w:left w:val="single" w:sz="8" w:color="47829E"/>
              <w:right w:val="single" w:sz="8" w:color="47829E"/>
            </w:tcBorders>
            <w:shd w:val="clear" w:color="auto" w:fill="47829E"/>
          </w:tcPr>
          <w:p>
            <w:pPr>
              <w:ind w:left="120"/>
              <w:spacing w:after="0"/>
              <w:rPr>
                <w:sz w:val="20"/>
                <w:szCs w:val="20"/>
                <w:color w:val="auto"/>
              </w:rPr>
            </w:pPr>
            <w:r>
              <w:rPr>
                <w:rFonts w:ascii="Arial" w:cs="Arial" w:eastAsia="Arial" w:hAnsi="Arial"/>
                <w:sz w:val="14"/>
                <w:szCs w:val="14"/>
                <w:b w:val="1"/>
                <w:bCs w:val="1"/>
                <w:color w:val="FFFFFF"/>
              </w:rPr>
              <w:t>of Beneficial Owner</w:t>
            </w:r>
          </w:p>
        </w:tc>
        <w:tc>
          <w:tcPr>
            <w:tcW w:w="2100" w:type="dxa"/>
            <w:vAlign w:val="bottom"/>
            <w:tcBorders>
              <w:right w:val="single" w:sz="8" w:color="47829E"/>
            </w:tcBorders>
            <w:shd w:val="clear" w:color="auto" w:fill="47829E"/>
          </w:tcPr>
          <w:p>
            <w:pPr>
              <w:jc w:val="right"/>
              <w:ind w:right="218"/>
              <w:spacing w:after="0"/>
              <w:rPr>
                <w:sz w:val="20"/>
                <w:szCs w:val="20"/>
                <w:color w:val="auto"/>
              </w:rPr>
            </w:pPr>
            <w:r>
              <w:rPr>
                <w:rFonts w:ascii="Arial" w:cs="Arial" w:eastAsia="Arial" w:hAnsi="Arial"/>
                <w:sz w:val="14"/>
                <w:szCs w:val="14"/>
                <w:b w:val="1"/>
                <w:bCs w:val="1"/>
                <w:color w:val="FFFFFF"/>
              </w:rPr>
              <w:t>of Beneficial Ownership</w:t>
            </w:r>
          </w:p>
        </w:tc>
        <w:tc>
          <w:tcPr>
            <w:tcW w:w="1900" w:type="dxa"/>
            <w:vAlign w:val="bottom"/>
            <w:tcBorders>
              <w:right w:val="single" w:sz="8" w:color="47829E"/>
            </w:tcBorders>
            <w:shd w:val="clear" w:color="auto" w:fill="47829E"/>
          </w:tcPr>
          <w:p>
            <w:pPr>
              <w:ind w:left="560"/>
              <w:spacing w:after="0"/>
              <w:rPr>
                <w:sz w:val="20"/>
                <w:szCs w:val="20"/>
                <w:color w:val="auto"/>
              </w:rPr>
            </w:pPr>
            <w:r>
              <w:rPr>
                <w:rFonts w:ascii="Arial" w:cs="Arial" w:eastAsia="Arial" w:hAnsi="Arial"/>
                <w:sz w:val="14"/>
                <w:szCs w:val="14"/>
                <w:b w:val="1"/>
                <w:bCs w:val="1"/>
                <w:color w:val="FFFFFF"/>
              </w:rPr>
              <w:t>of Class</w:t>
            </w:r>
          </w:p>
        </w:tc>
        <w:tc>
          <w:tcPr>
            <w:tcW w:w="0" w:type="dxa"/>
            <w:vAlign w:val="bottom"/>
          </w:tcPr>
          <w:p>
            <w:pPr>
              <w:spacing w:after="0"/>
              <w:rPr>
                <w:sz w:val="1"/>
                <w:szCs w:val="1"/>
                <w:color w:val="auto"/>
              </w:rPr>
            </w:pPr>
          </w:p>
        </w:tc>
      </w:tr>
      <w:tr>
        <w:trPr>
          <w:trHeight w:val="206"/>
        </w:trPr>
        <w:tc>
          <w:tcPr>
            <w:tcW w:w="5940" w:type="dxa"/>
            <w:vAlign w:val="bottom"/>
            <w:tcBorders>
              <w:left w:val="single" w:sz="8" w:color="47829E"/>
              <w:right w:val="single" w:sz="8" w:color="47829E"/>
            </w:tcBorders>
          </w:tcPr>
          <w:p>
            <w:pPr>
              <w:ind w:left="120"/>
              <w:spacing w:after="0" w:line="206" w:lineRule="exact"/>
              <w:rPr>
                <w:sz w:val="20"/>
                <w:szCs w:val="20"/>
                <w:color w:val="auto"/>
              </w:rPr>
            </w:pPr>
            <w:r>
              <w:rPr>
                <w:rFonts w:ascii="Arial" w:cs="Arial" w:eastAsia="Arial" w:hAnsi="Arial"/>
                <w:sz w:val="18"/>
                <w:szCs w:val="18"/>
                <w:color w:val="auto"/>
              </w:rPr>
              <w:t>T. Rowe Price Associates, Inc.</w:t>
            </w:r>
            <w:r>
              <w:rPr>
                <w:rFonts w:ascii="Arial" w:cs="Arial" w:eastAsia="Arial" w:hAnsi="Arial"/>
                <w:sz w:val="22"/>
                <w:szCs w:val="22"/>
                <w:color w:val="auto"/>
                <w:vertAlign w:val="superscript"/>
              </w:rPr>
              <w:t>1</w:t>
            </w:r>
          </w:p>
        </w:tc>
        <w:tc>
          <w:tcPr>
            <w:tcW w:w="2100" w:type="dxa"/>
            <w:vAlign w:val="bottom"/>
            <w:tcBorders>
              <w:right w:val="single" w:sz="8" w:color="47829E"/>
            </w:tcBorders>
          </w:tcPr>
          <w:p>
            <w:pPr>
              <w:spacing w:after="0"/>
              <w:rPr>
                <w:sz w:val="17"/>
                <w:szCs w:val="17"/>
                <w:color w:val="auto"/>
              </w:rPr>
            </w:pPr>
          </w:p>
        </w:tc>
        <w:tc>
          <w:tcPr>
            <w:tcW w:w="1900" w:type="dxa"/>
            <w:vAlign w:val="bottom"/>
            <w:tcBorders>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100 East Pratt St.</w:t>
            </w:r>
          </w:p>
        </w:tc>
        <w:tc>
          <w:tcPr>
            <w:tcW w:w="2100" w:type="dxa"/>
            <w:vAlign w:val="bottom"/>
            <w:tcBorders>
              <w:right w:val="single" w:sz="8" w:color="47829E"/>
            </w:tcBorders>
          </w:tcPr>
          <w:p>
            <w:pPr>
              <w:jc w:val="right"/>
              <w:ind w:right="58"/>
              <w:spacing w:after="0" w:line="202" w:lineRule="exact"/>
              <w:rPr>
                <w:sz w:val="20"/>
                <w:szCs w:val="20"/>
                <w:color w:val="auto"/>
              </w:rPr>
            </w:pPr>
            <w:r>
              <w:rPr>
                <w:rFonts w:ascii="Arial" w:cs="Arial" w:eastAsia="Arial" w:hAnsi="Arial"/>
                <w:sz w:val="18"/>
                <w:szCs w:val="18"/>
                <w:color w:val="auto"/>
              </w:rPr>
              <w:t>5,849,636</w:t>
            </w:r>
          </w:p>
        </w:tc>
        <w:tc>
          <w:tcPr>
            <w:tcW w:w="1900" w:type="dxa"/>
            <w:vAlign w:val="bottom"/>
            <w:tcBorders>
              <w:right w:val="single" w:sz="8" w:color="47829E"/>
            </w:tcBorders>
          </w:tcPr>
          <w:p>
            <w:pPr>
              <w:jc w:val="right"/>
              <w:ind w:right="118"/>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2"/>
        </w:trPr>
        <w:tc>
          <w:tcPr>
            <w:tcW w:w="5940" w:type="dxa"/>
            <w:vAlign w:val="bottom"/>
            <w:tcBorders>
              <w:left w:val="single" w:sz="8" w:color="47829E"/>
              <w:right w:val="single" w:sz="8" w:color="47829E"/>
            </w:tcBorders>
          </w:tcPr>
          <w:p>
            <w:pPr>
              <w:ind w:left="120"/>
              <w:spacing w:after="0"/>
              <w:rPr>
                <w:sz w:val="20"/>
                <w:szCs w:val="20"/>
                <w:color w:val="auto"/>
              </w:rPr>
            </w:pPr>
            <w:r>
              <w:rPr>
                <w:rFonts w:ascii="Arial" w:cs="Arial" w:eastAsia="Arial" w:hAnsi="Arial"/>
                <w:sz w:val="18"/>
                <w:szCs w:val="18"/>
                <w:color w:val="auto"/>
              </w:rPr>
              <w:t>Baltimore, MD 21202-1009</w:t>
            </w:r>
          </w:p>
        </w:tc>
        <w:tc>
          <w:tcPr>
            <w:tcW w:w="2100" w:type="dxa"/>
            <w:vAlign w:val="bottom"/>
            <w:tcBorders>
              <w:right w:val="single" w:sz="8" w:color="47829E"/>
            </w:tcBorders>
          </w:tcPr>
          <w:p>
            <w:pPr>
              <w:spacing w:after="0"/>
              <w:rPr>
                <w:sz w:val="18"/>
                <w:szCs w:val="18"/>
                <w:color w:val="auto"/>
              </w:rPr>
            </w:pPr>
          </w:p>
        </w:tc>
        <w:tc>
          <w:tcPr>
            <w:tcW w:w="1900" w:type="dxa"/>
            <w:vAlign w:val="bottom"/>
            <w:tcBorders>
              <w:right w:val="single" w:sz="8" w:color="47829E"/>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40" w:type="dxa"/>
            <w:vAlign w:val="bottom"/>
            <w:tcBorders>
              <w:left w:val="single" w:sz="8" w:color="47829E"/>
              <w:right w:val="single" w:sz="8" w:color="47829E"/>
            </w:tcBorders>
            <w:shd w:val="clear" w:color="auto" w:fill="E3ECF0"/>
          </w:tcPr>
          <w:p>
            <w:pPr>
              <w:ind w:left="120"/>
              <w:spacing w:after="0" w:line="207" w:lineRule="exact"/>
              <w:rPr>
                <w:sz w:val="20"/>
                <w:szCs w:val="20"/>
                <w:color w:val="auto"/>
              </w:rPr>
            </w:pPr>
            <w:r>
              <w:rPr>
                <w:rFonts w:ascii="Arial" w:cs="Arial" w:eastAsia="Arial" w:hAnsi="Arial"/>
                <w:sz w:val="18"/>
                <w:szCs w:val="18"/>
                <w:color w:val="auto"/>
              </w:rPr>
              <w:t>The Vanguard Group</w:t>
            </w:r>
            <w:r>
              <w:rPr>
                <w:rFonts w:ascii="Arial" w:cs="Arial" w:eastAsia="Arial" w:hAnsi="Arial"/>
                <w:sz w:val="22"/>
                <w:szCs w:val="22"/>
                <w:color w:val="auto"/>
                <w:vertAlign w:val="superscript"/>
              </w:rPr>
              <w:t>2</w:t>
            </w:r>
          </w:p>
        </w:tc>
        <w:tc>
          <w:tcPr>
            <w:tcW w:w="2100" w:type="dxa"/>
            <w:vAlign w:val="bottom"/>
            <w:tcBorders>
              <w:right w:val="single" w:sz="8" w:color="47829E"/>
            </w:tcBorders>
            <w:shd w:val="clear" w:color="auto" w:fill="E3ECF0"/>
          </w:tcPr>
          <w:p>
            <w:pPr>
              <w:spacing w:after="0"/>
              <w:rPr>
                <w:sz w:val="17"/>
                <w:szCs w:val="17"/>
                <w:color w:val="auto"/>
              </w:rPr>
            </w:pPr>
          </w:p>
        </w:tc>
        <w:tc>
          <w:tcPr>
            <w:tcW w:w="1900" w:type="dxa"/>
            <w:vAlign w:val="bottom"/>
            <w:tcBorders>
              <w:right w:val="single" w:sz="8" w:color="47829E"/>
            </w:tcBorders>
            <w:shd w:val="clear" w:color="auto" w:fill="E3ECF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Borders>
              <w:left w:val="single" w:sz="8" w:color="47829E"/>
              <w:righ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100 Vanguard Boulevard V26</w:t>
            </w:r>
          </w:p>
        </w:tc>
        <w:tc>
          <w:tcPr>
            <w:tcW w:w="2100" w:type="dxa"/>
            <w:vAlign w:val="bottom"/>
            <w:tcBorders>
              <w:right w:val="single" w:sz="8" w:color="47829E"/>
            </w:tcBorders>
            <w:shd w:val="clear" w:color="auto" w:fill="E3ECF0"/>
          </w:tcPr>
          <w:p>
            <w:pPr>
              <w:jc w:val="right"/>
              <w:ind w:right="58"/>
              <w:spacing w:after="0" w:line="202" w:lineRule="exact"/>
              <w:rPr>
                <w:sz w:val="20"/>
                <w:szCs w:val="20"/>
                <w:color w:val="auto"/>
              </w:rPr>
            </w:pPr>
            <w:r>
              <w:rPr>
                <w:rFonts w:ascii="Arial" w:cs="Arial" w:eastAsia="Arial" w:hAnsi="Arial"/>
                <w:sz w:val="18"/>
                <w:szCs w:val="18"/>
                <w:color w:val="auto"/>
              </w:rPr>
              <w:t>4,822,568</w:t>
            </w:r>
          </w:p>
        </w:tc>
        <w:tc>
          <w:tcPr>
            <w:tcW w:w="1900" w:type="dxa"/>
            <w:vAlign w:val="bottom"/>
            <w:tcBorders>
              <w:right w:val="single" w:sz="8" w:color="47829E"/>
            </w:tcBorders>
            <w:shd w:val="clear" w:color="auto" w:fill="E3ECF0"/>
          </w:tcPr>
          <w:p>
            <w:pPr>
              <w:jc w:val="right"/>
              <w:ind w:right="118"/>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3"/>
        </w:trPr>
        <w:tc>
          <w:tcPr>
            <w:tcW w:w="5940" w:type="dxa"/>
            <w:vAlign w:val="bottom"/>
            <w:tcBorders>
              <w:left w:val="single" w:sz="8" w:color="47829E"/>
              <w:right w:val="single" w:sz="8" w:color="47829E"/>
            </w:tcBorders>
            <w:shd w:val="clear" w:color="auto" w:fill="E3ECF0"/>
          </w:tcPr>
          <w:p>
            <w:pPr>
              <w:ind w:left="120"/>
              <w:spacing w:after="0"/>
              <w:rPr>
                <w:sz w:val="20"/>
                <w:szCs w:val="20"/>
                <w:color w:val="auto"/>
              </w:rPr>
            </w:pPr>
            <w:r>
              <w:rPr>
                <w:rFonts w:ascii="Arial" w:cs="Arial" w:eastAsia="Arial" w:hAnsi="Arial"/>
                <w:sz w:val="18"/>
                <w:szCs w:val="18"/>
                <w:color w:val="auto"/>
              </w:rPr>
              <w:t>Malvern, PA 19355</w:t>
            </w:r>
          </w:p>
        </w:tc>
        <w:tc>
          <w:tcPr>
            <w:tcW w:w="2100" w:type="dxa"/>
            <w:vAlign w:val="bottom"/>
            <w:tcBorders>
              <w:right w:val="single" w:sz="8" w:color="47829E"/>
            </w:tcBorders>
            <w:shd w:val="clear" w:color="auto" w:fill="E3ECF0"/>
          </w:tcPr>
          <w:p>
            <w:pPr>
              <w:spacing w:after="0"/>
              <w:rPr>
                <w:sz w:val="18"/>
                <w:szCs w:val="18"/>
                <w:color w:val="auto"/>
              </w:rPr>
            </w:pPr>
          </w:p>
        </w:tc>
        <w:tc>
          <w:tcPr>
            <w:tcW w:w="1900" w:type="dxa"/>
            <w:vAlign w:val="bottom"/>
            <w:tcBorders>
              <w:right w:val="single" w:sz="8" w:color="47829E"/>
            </w:tcBorders>
            <w:shd w:val="clear" w:color="auto" w:fill="E3ECF0"/>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40" w:type="dxa"/>
            <w:vAlign w:val="bottom"/>
            <w:tcBorders>
              <w:left w:val="single" w:sz="8" w:color="47829E"/>
              <w:right w:val="single" w:sz="8" w:color="47829E"/>
            </w:tcBorders>
          </w:tcPr>
          <w:p>
            <w:pPr>
              <w:ind w:left="120"/>
              <w:spacing w:after="0" w:line="206" w:lineRule="exact"/>
              <w:rPr>
                <w:sz w:val="20"/>
                <w:szCs w:val="20"/>
                <w:color w:val="auto"/>
              </w:rPr>
            </w:pPr>
            <w:r>
              <w:rPr>
                <w:rFonts w:ascii="Arial" w:cs="Arial" w:eastAsia="Arial" w:hAnsi="Arial"/>
                <w:sz w:val="18"/>
                <w:szCs w:val="18"/>
                <w:color w:val="auto"/>
              </w:rPr>
              <w:t>Nevada Asset Holding</w:t>
            </w:r>
            <w:r>
              <w:rPr>
                <w:rFonts w:ascii="Arial" w:cs="Arial" w:eastAsia="Arial" w:hAnsi="Arial"/>
                <w:sz w:val="22"/>
                <w:szCs w:val="22"/>
                <w:color w:val="auto"/>
                <w:vertAlign w:val="superscript"/>
              </w:rPr>
              <w:t>3</w:t>
            </w:r>
          </w:p>
        </w:tc>
        <w:tc>
          <w:tcPr>
            <w:tcW w:w="2100" w:type="dxa"/>
            <w:vAlign w:val="bottom"/>
            <w:tcBorders>
              <w:right w:val="single" w:sz="8" w:color="47829E"/>
            </w:tcBorders>
          </w:tcPr>
          <w:p>
            <w:pPr>
              <w:spacing w:after="0"/>
              <w:rPr>
                <w:sz w:val="17"/>
                <w:szCs w:val="17"/>
                <w:color w:val="auto"/>
              </w:rPr>
            </w:pPr>
          </w:p>
        </w:tc>
        <w:tc>
          <w:tcPr>
            <w:tcW w:w="1900" w:type="dxa"/>
            <w:vAlign w:val="bottom"/>
            <w:tcBorders>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89 Nexus Way</w:t>
            </w:r>
          </w:p>
        </w:tc>
        <w:tc>
          <w:tcPr>
            <w:tcW w:w="2100" w:type="dxa"/>
            <w:vAlign w:val="bottom"/>
            <w:tcBorders>
              <w:right w:val="single" w:sz="8" w:color="47829E"/>
            </w:tcBorders>
          </w:tcPr>
          <w:p>
            <w:pPr>
              <w:spacing w:after="0"/>
              <w:rPr>
                <w:sz w:val="17"/>
                <w:szCs w:val="17"/>
                <w:color w:val="auto"/>
              </w:rPr>
            </w:pPr>
          </w:p>
        </w:tc>
        <w:tc>
          <w:tcPr>
            <w:tcW w:w="1900" w:type="dxa"/>
            <w:vAlign w:val="bottom"/>
            <w:tcBorders>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Camana Bay</w:t>
            </w:r>
          </w:p>
        </w:tc>
        <w:tc>
          <w:tcPr>
            <w:tcW w:w="2100" w:type="dxa"/>
            <w:vAlign w:val="bottom"/>
            <w:tcBorders>
              <w:right w:val="single" w:sz="8" w:color="47829E"/>
            </w:tcBorders>
          </w:tcPr>
          <w:p>
            <w:pPr>
              <w:jc w:val="right"/>
              <w:ind w:right="58"/>
              <w:spacing w:after="0" w:line="202" w:lineRule="exact"/>
              <w:rPr>
                <w:sz w:val="20"/>
                <w:szCs w:val="20"/>
                <w:color w:val="auto"/>
              </w:rPr>
            </w:pPr>
            <w:r>
              <w:rPr>
                <w:rFonts w:ascii="Arial" w:cs="Arial" w:eastAsia="Arial" w:hAnsi="Arial"/>
                <w:sz w:val="18"/>
                <w:szCs w:val="18"/>
                <w:color w:val="auto"/>
              </w:rPr>
              <w:t>3,724,095</w:t>
            </w:r>
          </w:p>
        </w:tc>
        <w:tc>
          <w:tcPr>
            <w:tcW w:w="1900" w:type="dxa"/>
            <w:vAlign w:val="bottom"/>
            <w:tcBorders>
              <w:right w:val="single" w:sz="8" w:color="47829E"/>
            </w:tcBorders>
          </w:tcPr>
          <w:p>
            <w:pPr>
              <w:jc w:val="right"/>
              <w:ind w:right="118"/>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594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Grand Cayman KY1-9007</w:t>
            </w:r>
          </w:p>
        </w:tc>
        <w:tc>
          <w:tcPr>
            <w:tcW w:w="2100" w:type="dxa"/>
            <w:vAlign w:val="bottom"/>
            <w:tcBorders>
              <w:right w:val="single" w:sz="8" w:color="47829E"/>
            </w:tcBorders>
          </w:tcPr>
          <w:p>
            <w:pPr>
              <w:spacing w:after="0"/>
              <w:rPr>
                <w:sz w:val="17"/>
                <w:szCs w:val="17"/>
                <w:color w:val="auto"/>
              </w:rPr>
            </w:pPr>
          </w:p>
        </w:tc>
        <w:tc>
          <w:tcPr>
            <w:tcW w:w="1900" w:type="dxa"/>
            <w:vAlign w:val="bottom"/>
            <w:tcBorders>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40" w:type="dxa"/>
            <w:vAlign w:val="bottom"/>
            <w:tcBorders>
              <w:left w:val="single" w:sz="8" w:color="47829E"/>
              <w:right w:val="single" w:sz="8" w:color="47829E"/>
            </w:tcBorders>
          </w:tcPr>
          <w:p>
            <w:pPr>
              <w:ind w:left="120"/>
              <w:spacing w:after="0"/>
              <w:rPr>
                <w:sz w:val="20"/>
                <w:szCs w:val="20"/>
                <w:color w:val="auto"/>
              </w:rPr>
            </w:pPr>
            <w:r>
              <w:rPr>
                <w:rFonts w:ascii="Arial" w:cs="Arial" w:eastAsia="Arial" w:hAnsi="Arial"/>
                <w:sz w:val="18"/>
                <w:szCs w:val="18"/>
                <w:color w:val="auto"/>
              </w:rPr>
              <w:t>Cayman Islands</w:t>
            </w:r>
          </w:p>
        </w:tc>
        <w:tc>
          <w:tcPr>
            <w:tcW w:w="2100" w:type="dxa"/>
            <w:vAlign w:val="bottom"/>
            <w:tcBorders>
              <w:right w:val="single" w:sz="8" w:color="47829E"/>
            </w:tcBorders>
          </w:tcPr>
          <w:p>
            <w:pPr>
              <w:spacing w:after="0"/>
              <w:rPr>
                <w:sz w:val="18"/>
                <w:szCs w:val="18"/>
                <w:color w:val="auto"/>
              </w:rPr>
            </w:pPr>
          </w:p>
        </w:tc>
        <w:tc>
          <w:tcPr>
            <w:tcW w:w="1900" w:type="dxa"/>
            <w:vAlign w:val="bottom"/>
            <w:tcBorders>
              <w:right w:val="single" w:sz="8" w:color="47829E"/>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40" w:type="dxa"/>
            <w:vAlign w:val="bottom"/>
            <w:tcBorders>
              <w:left w:val="single" w:sz="8" w:color="47829E"/>
              <w:right w:val="single" w:sz="8" w:color="47829E"/>
            </w:tcBorders>
            <w:shd w:val="clear" w:color="auto" w:fill="E3ECF0"/>
          </w:tcPr>
          <w:p>
            <w:pPr>
              <w:ind w:left="120"/>
              <w:spacing w:after="0" w:line="207" w:lineRule="exact"/>
              <w:rPr>
                <w:sz w:val="20"/>
                <w:szCs w:val="20"/>
                <w:color w:val="auto"/>
              </w:rPr>
            </w:pPr>
            <w:r>
              <w:rPr>
                <w:rFonts w:ascii="Arial" w:cs="Arial" w:eastAsia="Arial" w:hAnsi="Arial"/>
                <w:sz w:val="18"/>
                <w:szCs w:val="18"/>
                <w:color w:val="auto"/>
              </w:rPr>
              <w:t>First Eagle Investment Management, LLC</w:t>
            </w:r>
            <w:r>
              <w:rPr>
                <w:rFonts w:ascii="Arial" w:cs="Arial" w:eastAsia="Arial" w:hAnsi="Arial"/>
                <w:sz w:val="22"/>
                <w:szCs w:val="22"/>
                <w:color w:val="auto"/>
                <w:vertAlign w:val="superscript"/>
              </w:rPr>
              <w:t>4</w:t>
            </w:r>
          </w:p>
        </w:tc>
        <w:tc>
          <w:tcPr>
            <w:tcW w:w="2100" w:type="dxa"/>
            <w:vAlign w:val="bottom"/>
            <w:tcBorders>
              <w:right w:val="single" w:sz="8" w:color="47829E"/>
            </w:tcBorders>
            <w:shd w:val="clear" w:color="auto" w:fill="E3ECF0"/>
          </w:tcPr>
          <w:p>
            <w:pPr>
              <w:spacing w:after="0"/>
              <w:rPr>
                <w:sz w:val="17"/>
                <w:szCs w:val="17"/>
                <w:color w:val="auto"/>
              </w:rPr>
            </w:pPr>
          </w:p>
        </w:tc>
        <w:tc>
          <w:tcPr>
            <w:tcW w:w="1900" w:type="dxa"/>
            <w:vAlign w:val="bottom"/>
            <w:tcBorders>
              <w:right w:val="single" w:sz="8" w:color="47829E"/>
            </w:tcBorders>
            <w:shd w:val="clear" w:color="auto" w:fill="E3ECF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Borders>
              <w:left w:val="single" w:sz="8" w:color="47829E"/>
              <w:righ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1345 Avenue of the Americas</w:t>
            </w:r>
          </w:p>
        </w:tc>
        <w:tc>
          <w:tcPr>
            <w:tcW w:w="2100" w:type="dxa"/>
            <w:vAlign w:val="bottom"/>
            <w:tcBorders>
              <w:right w:val="single" w:sz="8" w:color="47829E"/>
            </w:tcBorders>
            <w:shd w:val="clear" w:color="auto" w:fill="E3ECF0"/>
          </w:tcPr>
          <w:p>
            <w:pPr>
              <w:jc w:val="right"/>
              <w:ind w:right="58"/>
              <w:spacing w:after="0" w:line="202" w:lineRule="exact"/>
              <w:rPr>
                <w:sz w:val="20"/>
                <w:szCs w:val="20"/>
                <w:color w:val="auto"/>
              </w:rPr>
            </w:pPr>
            <w:r>
              <w:rPr>
                <w:rFonts w:ascii="Arial" w:cs="Arial" w:eastAsia="Arial" w:hAnsi="Arial"/>
                <w:sz w:val="18"/>
                <w:szCs w:val="18"/>
                <w:color w:val="auto"/>
              </w:rPr>
              <w:t>3,492,792</w:t>
            </w:r>
          </w:p>
        </w:tc>
        <w:tc>
          <w:tcPr>
            <w:tcW w:w="1900" w:type="dxa"/>
            <w:vAlign w:val="bottom"/>
            <w:tcBorders>
              <w:right w:val="single" w:sz="8" w:color="47829E"/>
            </w:tcBorders>
            <w:shd w:val="clear" w:color="auto" w:fill="E3ECF0"/>
          </w:tcPr>
          <w:p>
            <w:pPr>
              <w:jc w:val="right"/>
              <w:ind w:right="118"/>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3"/>
        </w:trPr>
        <w:tc>
          <w:tcPr>
            <w:tcW w:w="5940" w:type="dxa"/>
            <w:vAlign w:val="bottom"/>
            <w:tcBorders>
              <w:left w:val="single" w:sz="8" w:color="47829E"/>
              <w:right w:val="single" w:sz="8" w:color="47829E"/>
            </w:tcBorders>
            <w:shd w:val="clear" w:color="auto" w:fill="E3ECF0"/>
          </w:tcPr>
          <w:p>
            <w:pPr>
              <w:ind w:left="120"/>
              <w:spacing w:after="0"/>
              <w:rPr>
                <w:sz w:val="20"/>
                <w:szCs w:val="20"/>
                <w:color w:val="auto"/>
              </w:rPr>
            </w:pPr>
            <w:r>
              <w:rPr>
                <w:rFonts w:ascii="Arial" w:cs="Arial" w:eastAsia="Arial" w:hAnsi="Arial"/>
                <w:sz w:val="18"/>
                <w:szCs w:val="18"/>
                <w:color w:val="auto"/>
              </w:rPr>
              <w:t>New York, NY 10105-4399</w:t>
            </w:r>
          </w:p>
        </w:tc>
        <w:tc>
          <w:tcPr>
            <w:tcW w:w="2100" w:type="dxa"/>
            <w:vAlign w:val="bottom"/>
            <w:tcBorders>
              <w:right w:val="single" w:sz="8" w:color="47829E"/>
            </w:tcBorders>
            <w:shd w:val="clear" w:color="auto" w:fill="E3ECF0"/>
          </w:tcPr>
          <w:p>
            <w:pPr>
              <w:spacing w:after="0"/>
              <w:rPr>
                <w:sz w:val="18"/>
                <w:szCs w:val="18"/>
                <w:color w:val="auto"/>
              </w:rPr>
            </w:pPr>
          </w:p>
        </w:tc>
        <w:tc>
          <w:tcPr>
            <w:tcW w:w="1900" w:type="dxa"/>
            <w:vAlign w:val="bottom"/>
            <w:tcBorders>
              <w:right w:val="single" w:sz="8" w:color="47829E"/>
            </w:tcBorders>
            <w:shd w:val="clear" w:color="auto" w:fill="E3ECF0"/>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40" w:type="dxa"/>
            <w:vAlign w:val="bottom"/>
            <w:tcBorders>
              <w:left w:val="single" w:sz="8" w:color="47829E"/>
              <w:right w:val="single" w:sz="8" w:color="47829E"/>
            </w:tcBorders>
          </w:tcPr>
          <w:p>
            <w:pPr>
              <w:ind w:left="120"/>
              <w:spacing w:after="0" w:line="206" w:lineRule="exact"/>
              <w:rPr>
                <w:sz w:val="20"/>
                <w:szCs w:val="20"/>
                <w:color w:val="auto"/>
              </w:rPr>
            </w:pPr>
            <w:r>
              <w:rPr>
                <w:rFonts w:ascii="Arial" w:cs="Arial" w:eastAsia="Arial" w:hAnsi="Arial"/>
                <w:sz w:val="18"/>
                <w:szCs w:val="18"/>
                <w:color w:val="auto"/>
              </w:rPr>
              <w:t>Baillie Gifford &amp; Co.</w:t>
            </w:r>
            <w:r>
              <w:rPr>
                <w:rFonts w:ascii="Arial" w:cs="Arial" w:eastAsia="Arial" w:hAnsi="Arial"/>
                <w:sz w:val="22"/>
                <w:szCs w:val="22"/>
                <w:color w:val="auto"/>
                <w:vertAlign w:val="superscript"/>
              </w:rPr>
              <w:t>5</w:t>
            </w:r>
          </w:p>
        </w:tc>
        <w:tc>
          <w:tcPr>
            <w:tcW w:w="2100" w:type="dxa"/>
            <w:vAlign w:val="bottom"/>
            <w:tcBorders>
              <w:right w:val="single" w:sz="8" w:color="47829E"/>
            </w:tcBorders>
          </w:tcPr>
          <w:p>
            <w:pPr>
              <w:spacing w:after="0"/>
              <w:rPr>
                <w:sz w:val="17"/>
                <w:szCs w:val="17"/>
                <w:color w:val="auto"/>
              </w:rPr>
            </w:pPr>
          </w:p>
        </w:tc>
        <w:tc>
          <w:tcPr>
            <w:tcW w:w="1900" w:type="dxa"/>
            <w:vAlign w:val="bottom"/>
            <w:tcBorders>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Calton Square, 1 Greenside Row</w:t>
            </w:r>
          </w:p>
        </w:tc>
        <w:tc>
          <w:tcPr>
            <w:tcW w:w="2100" w:type="dxa"/>
            <w:vAlign w:val="bottom"/>
            <w:tcBorders>
              <w:right w:val="single" w:sz="8" w:color="47829E"/>
            </w:tcBorders>
            <w:vMerge w:val="restart"/>
          </w:tcPr>
          <w:p>
            <w:pPr>
              <w:jc w:val="right"/>
              <w:ind w:right="58"/>
              <w:spacing w:after="0"/>
              <w:rPr>
                <w:sz w:val="20"/>
                <w:szCs w:val="20"/>
                <w:color w:val="auto"/>
              </w:rPr>
            </w:pPr>
            <w:r>
              <w:rPr>
                <w:rFonts w:ascii="Arial" w:cs="Arial" w:eastAsia="Arial" w:hAnsi="Arial"/>
                <w:sz w:val="18"/>
                <w:szCs w:val="18"/>
                <w:color w:val="auto"/>
              </w:rPr>
              <w:t>3,363,863</w:t>
            </w:r>
          </w:p>
        </w:tc>
        <w:tc>
          <w:tcPr>
            <w:tcW w:w="1900" w:type="dxa"/>
            <w:vAlign w:val="bottom"/>
            <w:tcBorders>
              <w:right w:val="single" w:sz="8" w:color="47829E"/>
            </w:tcBorders>
            <w:vMerge w:val="restart"/>
          </w:tcPr>
          <w:p>
            <w:pPr>
              <w:jc w:val="right"/>
              <w:ind w:right="118"/>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16"/>
        </w:trPr>
        <w:tc>
          <w:tcPr>
            <w:tcW w:w="5940" w:type="dxa"/>
            <w:vAlign w:val="bottom"/>
            <w:tcBorders>
              <w:left w:val="single" w:sz="8" w:color="47829E"/>
              <w:right w:val="single" w:sz="8" w:color="47829E"/>
            </w:tcBorders>
            <w:vMerge w:val="restart"/>
          </w:tcPr>
          <w:p>
            <w:pPr>
              <w:ind w:left="120"/>
              <w:spacing w:after="0" w:line="202" w:lineRule="exact"/>
              <w:rPr>
                <w:sz w:val="20"/>
                <w:szCs w:val="20"/>
                <w:color w:val="auto"/>
              </w:rPr>
            </w:pPr>
            <w:r>
              <w:rPr>
                <w:rFonts w:ascii="Arial" w:cs="Arial" w:eastAsia="Arial" w:hAnsi="Arial"/>
                <w:sz w:val="18"/>
                <w:szCs w:val="18"/>
                <w:color w:val="auto"/>
              </w:rPr>
              <w:t>Edinburgh EH1 3AN</w:t>
            </w:r>
          </w:p>
        </w:tc>
        <w:tc>
          <w:tcPr>
            <w:tcW w:w="2100" w:type="dxa"/>
            <w:vAlign w:val="bottom"/>
            <w:tcBorders>
              <w:right w:val="single" w:sz="8" w:color="47829E"/>
            </w:tcBorders>
            <w:vMerge w:val="continue"/>
          </w:tcPr>
          <w:p>
            <w:pPr>
              <w:spacing w:after="0"/>
              <w:rPr>
                <w:sz w:val="10"/>
                <w:szCs w:val="10"/>
                <w:color w:val="auto"/>
              </w:rPr>
            </w:pPr>
          </w:p>
        </w:tc>
        <w:tc>
          <w:tcPr>
            <w:tcW w:w="1900" w:type="dxa"/>
            <w:vAlign w:val="bottom"/>
            <w:tcBorders>
              <w:right w:val="single" w:sz="8" w:color="47829E"/>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5940" w:type="dxa"/>
            <w:vAlign w:val="bottom"/>
            <w:tcBorders>
              <w:left w:val="single" w:sz="8" w:color="47829E"/>
              <w:right w:val="single" w:sz="8" w:color="47829E"/>
            </w:tcBorders>
            <w:vMerge w:val="continue"/>
          </w:tcPr>
          <w:p>
            <w:pPr>
              <w:spacing w:after="0"/>
              <w:rPr>
                <w:sz w:val="7"/>
                <w:szCs w:val="7"/>
                <w:color w:val="auto"/>
              </w:rPr>
            </w:pPr>
          </w:p>
        </w:tc>
        <w:tc>
          <w:tcPr>
            <w:tcW w:w="2100" w:type="dxa"/>
            <w:vAlign w:val="bottom"/>
            <w:tcBorders>
              <w:right w:val="single" w:sz="8" w:color="47829E"/>
            </w:tcBorders>
          </w:tcPr>
          <w:p>
            <w:pPr>
              <w:spacing w:after="0"/>
              <w:rPr>
                <w:sz w:val="7"/>
                <w:szCs w:val="7"/>
                <w:color w:val="auto"/>
              </w:rPr>
            </w:pPr>
          </w:p>
        </w:tc>
        <w:tc>
          <w:tcPr>
            <w:tcW w:w="1900" w:type="dxa"/>
            <w:vAlign w:val="bottom"/>
            <w:tcBorders>
              <w:right w:val="single" w:sz="8" w:color="47829E"/>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5940" w:type="dxa"/>
            <w:vAlign w:val="bottom"/>
            <w:tcBorders>
              <w:left w:val="single" w:sz="8" w:color="47829E"/>
              <w:bottom w:val="single" w:sz="8" w:color="47829E"/>
              <w:right w:val="single" w:sz="8" w:color="47829E"/>
            </w:tcBorders>
          </w:tcPr>
          <w:p>
            <w:pPr>
              <w:ind w:left="120"/>
              <w:spacing w:after="0"/>
              <w:rPr>
                <w:sz w:val="20"/>
                <w:szCs w:val="20"/>
                <w:color w:val="auto"/>
              </w:rPr>
            </w:pPr>
            <w:r>
              <w:rPr>
                <w:rFonts w:ascii="Arial" w:cs="Arial" w:eastAsia="Arial" w:hAnsi="Arial"/>
                <w:sz w:val="18"/>
                <w:szCs w:val="18"/>
                <w:color w:val="auto"/>
              </w:rPr>
              <w:t>Scotland</w:t>
            </w:r>
          </w:p>
        </w:tc>
        <w:tc>
          <w:tcPr>
            <w:tcW w:w="2100" w:type="dxa"/>
            <w:vAlign w:val="bottom"/>
            <w:tcBorders>
              <w:bottom w:val="single" w:sz="8" w:color="47829E"/>
              <w:right w:val="single" w:sz="8" w:color="47829E"/>
            </w:tcBorders>
          </w:tcPr>
          <w:p>
            <w:pPr>
              <w:spacing w:after="0"/>
              <w:rPr>
                <w:sz w:val="18"/>
                <w:szCs w:val="18"/>
                <w:color w:val="auto"/>
              </w:rPr>
            </w:pPr>
          </w:p>
        </w:tc>
        <w:tc>
          <w:tcPr>
            <w:tcW w:w="1900" w:type="dxa"/>
            <w:vAlign w:val="bottom"/>
            <w:tcBorders>
              <w:bottom w:val="single" w:sz="8" w:color="47829E"/>
              <w:right w:val="single" w:sz="8" w:color="47829E"/>
            </w:tcBorders>
          </w:tcPr>
          <w:p>
            <w:pPr>
              <w:spacing w:after="0"/>
              <w:rPr>
                <w:sz w:val="18"/>
                <w:szCs w:val="18"/>
                <w:color w:val="auto"/>
              </w:rPr>
            </w:pPr>
          </w:p>
        </w:tc>
        <w:tc>
          <w:tcPr>
            <w:tcW w:w="0" w:type="dxa"/>
            <w:vAlign w:val="bottom"/>
          </w:tcPr>
          <w:p>
            <w:pPr>
              <w:spacing w:after="0"/>
              <w:rPr>
                <w:sz w:val="1"/>
                <w:szCs w:val="1"/>
                <w:color w:val="auto"/>
              </w:rPr>
            </w:pPr>
          </w:p>
        </w:tc>
      </w:tr>
    </w:tbl>
    <w:p>
      <w:pPr>
        <w:ind w:left="120" w:hanging="112"/>
        <w:spacing w:after="0" w:line="230" w:lineRule="auto"/>
        <w:tabs>
          <w:tab w:leader="none" w:pos="12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As reported in Schedule 13G/A reporting beneficial ownership as of December 31, 2014 filed with the Securities and Exchange Commission on January 12, 2015.</w:t>
      </w:r>
    </w:p>
    <w:p>
      <w:pPr>
        <w:spacing w:after="0" w:line="67" w:lineRule="exact"/>
        <w:rPr>
          <w:rFonts w:ascii="Arial" w:cs="Arial" w:eastAsia="Arial" w:hAnsi="Arial"/>
          <w:sz w:val="22"/>
          <w:szCs w:val="22"/>
          <w:color w:val="auto"/>
          <w:vertAlign w:val="superscript"/>
        </w:rPr>
      </w:pPr>
    </w:p>
    <w:p>
      <w:pPr>
        <w:ind w:right="1600"/>
        <w:spacing w:after="0" w:line="260"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2</w:t>
      </w:r>
      <w:r>
        <w:rPr>
          <w:rFonts w:ascii="Arial" w:cs="Arial" w:eastAsia="Arial" w:hAnsi="Arial"/>
          <w:sz w:val="13"/>
          <w:szCs w:val="13"/>
          <w:color w:val="auto"/>
        </w:rPr>
        <w:t xml:space="preserve"> As reported in Schedule 13G/A reporting beneficial ownership as of December 31, 2014 filed with the Securities and Exchange Commission on February 11, 2015. </w:t>
      </w:r>
      <w:r>
        <w:rPr>
          <w:rFonts w:ascii="Arial" w:cs="Arial" w:eastAsia="Arial" w:hAnsi="Arial"/>
          <w:sz w:val="21"/>
          <w:szCs w:val="21"/>
          <w:color w:val="auto"/>
          <w:vertAlign w:val="superscript"/>
        </w:rPr>
        <w:t>3</w:t>
      </w:r>
      <w:r>
        <w:rPr>
          <w:rFonts w:ascii="Arial" w:cs="Arial" w:eastAsia="Arial" w:hAnsi="Arial"/>
          <w:sz w:val="13"/>
          <w:szCs w:val="13"/>
          <w:color w:val="auto"/>
        </w:rPr>
        <w:t xml:space="preserve"> As reported in Schedule 13G/A reporting beneficial ownership as of December 31, 2014 filed with the Securities and Exchange Commission on February 6, 2015. </w:t>
      </w:r>
      <w:r>
        <w:rPr>
          <w:rFonts w:ascii="Arial" w:cs="Arial" w:eastAsia="Arial" w:hAnsi="Arial"/>
          <w:sz w:val="21"/>
          <w:szCs w:val="21"/>
          <w:color w:val="auto"/>
          <w:vertAlign w:val="superscript"/>
        </w:rPr>
        <w:t>4</w:t>
      </w:r>
      <w:r>
        <w:rPr>
          <w:rFonts w:ascii="Arial" w:cs="Arial" w:eastAsia="Arial" w:hAnsi="Arial"/>
          <w:sz w:val="13"/>
          <w:szCs w:val="13"/>
          <w:color w:val="auto"/>
        </w:rPr>
        <w:t xml:space="preserve"> As reported in Schedule 13G/A reporting beneficial ownership as of December 31, 2014 filed with the Securities and Exchange Commission on January 29, 2015. </w:t>
      </w:r>
      <w:r>
        <w:rPr>
          <w:rFonts w:ascii="Arial" w:cs="Arial" w:eastAsia="Arial" w:hAnsi="Arial"/>
          <w:sz w:val="21"/>
          <w:szCs w:val="21"/>
          <w:color w:val="auto"/>
          <w:vertAlign w:val="superscript"/>
        </w:rPr>
        <w:t>5</w:t>
      </w:r>
      <w:r>
        <w:rPr>
          <w:rFonts w:ascii="Arial" w:cs="Arial" w:eastAsia="Arial" w:hAnsi="Arial"/>
          <w:sz w:val="13"/>
          <w:szCs w:val="13"/>
          <w:color w:val="auto"/>
        </w:rPr>
        <w:t xml:space="preserve"> As reported in Schedule 13G reporting beneficial ownership as of December 31, 2014 filed with the Securities and Exchange Commission on January 23, 2015.</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5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much stock do Martin Marietta’s Directors and executive officers own?</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following table sets forth information as of March 13, 2015 with respect to the shares of common stock that are beneficially owned by the Directors and nominees, the Chief Executive Officer, the Chief Financial Officer, and the three other executive officers who are listed in the Summary Compensation Table on page 45 of this proxy statement, individually, and by all Directors and executive officers of Martin Marietta as a group.</w:t>
      </w:r>
    </w:p>
    <w:p>
      <w:pPr>
        <w:spacing w:after="0" w:line="166" w:lineRule="exact"/>
        <w:rPr>
          <w:sz w:val="20"/>
          <w:szCs w:val="20"/>
          <w:color w:val="auto"/>
        </w:rPr>
      </w:pPr>
    </w:p>
    <w:tbl>
      <w:tblPr>
        <w:tblLayout w:type="fixed"/>
        <w:tblInd w:w="770" w:type="dxa"/>
        <w:tblCellMar>
          <w:top w:w="0" w:type="dxa"/>
          <w:left w:w="0" w:type="dxa"/>
          <w:bottom w:w="0" w:type="dxa"/>
          <w:right w:w="0" w:type="dxa"/>
        </w:tblCellMar>
      </w:tblPr>
      <w:tr>
        <w:trPr>
          <w:trHeight w:val="161"/>
        </w:trPr>
        <w:tc>
          <w:tcPr>
            <w:tcW w:w="7640" w:type="dxa"/>
            <w:vAlign w:val="bottom"/>
            <w:tcBorders>
              <w:left w:val="single" w:sz="8" w:color="47829E"/>
              <w:right w:val="single" w:sz="8" w:color="47829E"/>
            </w:tcBorders>
            <w:shd w:val="clear" w:color="auto" w:fill="47829E"/>
          </w:tcPr>
          <w:p>
            <w:pPr>
              <w:spacing w:after="0"/>
              <w:rPr>
                <w:sz w:val="14"/>
                <w:szCs w:val="14"/>
                <w:color w:val="auto"/>
              </w:rPr>
            </w:pPr>
          </w:p>
        </w:tc>
        <w:tc>
          <w:tcPr>
            <w:tcW w:w="2300" w:type="dxa"/>
            <w:vAlign w:val="bottom"/>
            <w:tcBorders>
              <w:right w:val="single" w:sz="8" w:color="47829E"/>
            </w:tcBorders>
            <w:shd w:val="clear" w:color="auto" w:fill="47829E"/>
          </w:tcPr>
          <w:p>
            <w:pPr>
              <w:jc w:val="right"/>
              <w:ind w:right="515"/>
              <w:spacing w:after="0"/>
              <w:rPr>
                <w:sz w:val="20"/>
                <w:szCs w:val="20"/>
                <w:color w:val="auto"/>
              </w:rPr>
            </w:pPr>
            <w:r>
              <w:rPr>
                <w:rFonts w:ascii="Arial" w:cs="Arial" w:eastAsia="Arial" w:hAnsi="Arial"/>
                <w:sz w:val="14"/>
                <w:szCs w:val="14"/>
                <w:b w:val="1"/>
                <w:bCs w:val="1"/>
                <w:color w:val="FFFFFF"/>
              </w:rPr>
              <w:t>Amount and Nature of</w:t>
            </w:r>
          </w:p>
        </w:tc>
      </w:tr>
      <w:tr>
        <w:trPr>
          <w:trHeight w:val="189"/>
        </w:trPr>
        <w:tc>
          <w:tcPr>
            <w:tcW w:w="7640" w:type="dxa"/>
            <w:vAlign w:val="bottom"/>
            <w:tcBorders>
              <w:left w:val="single" w:sz="8" w:color="47829E"/>
              <w:right w:val="single" w:sz="8" w:color="47829E"/>
            </w:tcBorders>
            <w:shd w:val="clear" w:color="auto" w:fill="47829E"/>
          </w:tcPr>
          <w:p>
            <w:pPr>
              <w:ind w:left="120"/>
              <w:spacing w:after="0"/>
              <w:rPr>
                <w:sz w:val="20"/>
                <w:szCs w:val="20"/>
                <w:color w:val="auto"/>
              </w:rPr>
            </w:pPr>
            <w:r>
              <w:rPr>
                <w:rFonts w:ascii="Arial" w:cs="Arial" w:eastAsia="Arial" w:hAnsi="Arial"/>
                <w:sz w:val="14"/>
                <w:szCs w:val="14"/>
                <w:b w:val="1"/>
                <w:bCs w:val="1"/>
                <w:color w:val="FFFFFF"/>
              </w:rPr>
              <w:t>Name of Beneficial Owner</w:t>
            </w:r>
          </w:p>
        </w:tc>
        <w:tc>
          <w:tcPr>
            <w:tcW w:w="2300" w:type="dxa"/>
            <w:vAlign w:val="bottom"/>
            <w:tcBorders>
              <w:right w:val="single" w:sz="8" w:color="47829E"/>
            </w:tcBorders>
            <w:shd w:val="clear" w:color="auto" w:fill="47829E"/>
          </w:tcPr>
          <w:p>
            <w:pPr>
              <w:jc w:val="right"/>
              <w:ind w:right="475"/>
              <w:spacing w:after="0" w:line="189" w:lineRule="exact"/>
              <w:rPr>
                <w:sz w:val="20"/>
                <w:szCs w:val="20"/>
                <w:color w:val="auto"/>
              </w:rPr>
            </w:pPr>
            <w:r>
              <w:rPr>
                <w:rFonts w:ascii="Arial" w:cs="Arial" w:eastAsia="Arial" w:hAnsi="Arial"/>
                <w:sz w:val="13"/>
                <w:szCs w:val="13"/>
                <w:b w:val="1"/>
                <w:bCs w:val="1"/>
                <w:color w:val="FFFFFF"/>
              </w:rPr>
              <w:t xml:space="preserve">Beneficial Ownership </w:t>
            </w:r>
            <w:r>
              <w:rPr>
                <w:rFonts w:ascii="Arial" w:cs="Arial" w:eastAsia="Arial" w:hAnsi="Arial"/>
                <w:sz w:val="21"/>
                <w:szCs w:val="21"/>
                <w:b w:val="1"/>
                <w:bCs w:val="1"/>
                <w:color w:val="FFFFFF"/>
                <w:vertAlign w:val="superscript"/>
              </w:rPr>
              <w:t>1</w:t>
            </w:r>
          </w:p>
        </w:tc>
      </w:tr>
      <w:tr>
        <w:trPr>
          <w:trHeight w:val="203"/>
        </w:trPr>
        <w:tc>
          <w:tcPr>
            <w:tcW w:w="764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Roselyn R. Bar</w:t>
            </w:r>
          </w:p>
        </w:tc>
        <w:tc>
          <w:tcPr>
            <w:tcW w:w="2300" w:type="dxa"/>
            <w:vAlign w:val="bottom"/>
            <w:tcBorders>
              <w:right w:val="single" w:sz="8" w:color="47829E"/>
            </w:tcBorders>
          </w:tcPr>
          <w:p>
            <w:pPr>
              <w:jc w:val="right"/>
              <w:ind w:right="295"/>
              <w:spacing w:after="0" w:line="203" w:lineRule="exact"/>
              <w:rPr>
                <w:sz w:val="20"/>
                <w:szCs w:val="20"/>
                <w:color w:val="auto"/>
              </w:rPr>
            </w:pPr>
            <w:r>
              <w:rPr>
                <w:rFonts w:ascii="Arial" w:cs="Arial" w:eastAsia="Arial" w:hAnsi="Arial"/>
                <w:sz w:val="18"/>
                <w:szCs w:val="18"/>
                <w:color w:val="auto"/>
              </w:rPr>
              <w:t>73,476</w:t>
            </w:r>
            <w:r>
              <w:rPr>
                <w:rFonts w:ascii="Arial" w:cs="Arial" w:eastAsia="Arial" w:hAnsi="Arial"/>
                <w:sz w:val="22"/>
                <w:szCs w:val="22"/>
                <w:color w:val="auto"/>
                <w:vertAlign w:val="superscript"/>
              </w:rPr>
              <w:t>2</w:t>
            </w:r>
          </w:p>
        </w:tc>
      </w:tr>
      <w:tr>
        <w:trPr>
          <w:trHeight w:val="203"/>
        </w:trPr>
        <w:tc>
          <w:tcPr>
            <w:tcW w:w="7640" w:type="dxa"/>
            <w:vAlign w:val="bottom"/>
            <w:tcBorders>
              <w:left w:val="single" w:sz="8" w:color="47829E"/>
              <w:righ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Sue W. Cole</w:t>
            </w:r>
          </w:p>
        </w:tc>
        <w:tc>
          <w:tcPr>
            <w:tcW w:w="2300" w:type="dxa"/>
            <w:vAlign w:val="bottom"/>
            <w:tcBorders>
              <w:right w:val="single" w:sz="8" w:color="47829E"/>
            </w:tcBorders>
            <w:shd w:val="clear" w:color="auto" w:fill="E3ECF0"/>
          </w:tcPr>
          <w:p>
            <w:pPr>
              <w:jc w:val="center"/>
              <w:ind w:right="175"/>
              <w:spacing w:after="0" w:line="203" w:lineRule="exact"/>
              <w:rPr>
                <w:sz w:val="20"/>
                <w:szCs w:val="20"/>
                <w:color w:val="auto"/>
              </w:rPr>
            </w:pPr>
            <w:r>
              <w:rPr>
                <w:rFonts w:ascii="Arial" w:cs="Arial" w:eastAsia="Arial" w:hAnsi="Arial"/>
                <w:sz w:val="18"/>
                <w:szCs w:val="18"/>
                <w:color w:val="auto"/>
              </w:rPr>
              <w:t>39,456</w:t>
            </w:r>
            <w:r>
              <w:rPr>
                <w:rFonts w:ascii="Arial" w:cs="Arial" w:eastAsia="Arial" w:hAnsi="Arial"/>
                <w:sz w:val="22"/>
                <w:szCs w:val="22"/>
                <w:color w:val="auto"/>
                <w:vertAlign w:val="superscript"/>
              </w:rPr>
              <w:t>3,4</w:t>
            </w:r>
          </w:p>
        </w:tc>
      </w:tr>
      <w:tr>
        <w:trPr>
          <w:trHeight w:val="203"/>
        </w:trPr>
        <w:tc>
          <w:tcPr>
            <w:tcW w:w="764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Daniel L. Grant</w:t>
            </w:r>
          </w:p>
        </w:tc>
        <w:tc>
          <w:tcPr>
            <w:tcW w:w="2300" w:type="dxa"/>
            <w:vAlign w:val="bottom"/>
            <w:tcBorders>
              <w:right w:val="single" w:sz="8" w:color="47829E"/>
            </w:tcBorders>
          </w:tcPr>
          <w:p>
            <w:pPr>
              <w:jc w:val="right"/>
              <w:ind w:right="295"/>
              <w:spacing w:after="0" w:line="203" w:lineRule="exact"/>
              <w:rPr>
                <w:sz w:val="20"/>
                <w:szCs w:val="20"/>
                <w:color w:val="auto"/>
              </w:rPr>
            </w:pPr>
            <w:r>
              <w:rPr>
                <w:rFonts w:ascii="Arial" w:cs="Arial" w:eastAsia="Arial" w:hAnsi="Arial"/>
                <w:sz w:val="18"/>
                <w:szCs w:val="18"/>
                <w:color w:val="auto"/>
              </w:rPr>
              <w:t>9,191</w:t>
            </w:r>
            <w:r>
              <w:rPr>
                <w:rFonts w:ascii="Arial" w:cs="Arial" w:eastAsia="Arial" w:hAnsi="Arial"/>
                <w:sz w:val="22"/>
                <w:szCs w:val="22"/>
                <w:color w:val="auto"/>
                <w:vertAlign w:val="superscript"/>
              </w:rPr>
              <w:t>2</w:t>
            </w:r>
          </w:p>
        </w:tc>
      </w:tr>
      <w:tr>
        <w:trPr>
          <w:trHeight w:val="203"/>
        </w:trPr>
        <w:tc>
          <w:tcPr>
            <w:tcW w:w="7640" w:type="dxa"/>
            <w:vAlign w:val="bottom"/>
            <w:tcBorders>
              <w:left w:val="single" w:sz="8" w:color="47829E"/>
              <w:righ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Anne H. Lloyd</w:t>
            </w:r>
          </w:p>
        </w:tc>
        <w:tc>
          <w:tcPr>
            <w:tcW w:w="2300" w:type="dxa"/>
            <w:vAlign w:val="bottom"/>
            <w:tcBorders>
              <w:right w:val="single" w:sz="8" w:color="47829E"/>
            </w:tcBorders>
            <w:shd w:val="clear" w:color="auto" w:fill="E3ECF0"/>
          </w:tcPr>
          <w:p>
            <w:pPr>
              <w:jc w:val="right"/>
              <w:ind w:right="295"/>
              <w:spacing w:after="0" w:line="203" w:lineRule="exact"/>
              <w:rPr>
                <w:sz w:val="20"/>
                <w:szCs w:val="20"/>
                <w:color w:val="auto"/>
              </w:rPr>
            </w:pPr>
            <w:r>
              <w:rPr>
                <w:rFonts w:ascii="Arial" w:cs="Arial" w:eastAsia="Arial" w:hAnsi="Arial"/>
                <w:sz w:val="18"/>
                <w:szCs w:val="18"/>
                <w:color w:val="auto"/>
              </w:rPr>
              <w:t>93,841</w:t>
            </w:r>
            <w:r>
              <w:rPr>
                <w:rFonts w:ascii="Arial" w:cs="Arial" w:eastAsia="Arial" w:hAnsi="Arial"/>
                <w:sz w:val="22"/>
                <w:szCs w:val="22"/>
                <w:color w:val="auto"/>
                <w:vertAlign w:val="superscript"/>
              </w:rPr>
              <w:t>2</w:t>
            </w:r>
          </w:p>
        </w:tc>
      </w:tr>
      <w:tr>
        <w:trPr>
          <w:trHeight w:val="203"/>
        </w:trPr>
        <w:tc>
          <w:tcPr>
            <w:tcW w:w="764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David G. Maffucci</w:t>
            </w:r>
          </w:p>
        </w:tc>
        <w:tc>
          <w:tcPr>
            <w:tcW w:w="2300" w:type="dxa"/>
            <w:vAlign w:val="bottom"/>
            <w:tcBorders>
              <w:right w:val="single" w:sz="8" w:color="47829E"/>
            </w:tcBorders>
          </w:tcPr>
          <w:p>
            <w:pPr>
              <w:jc w:val="right"/>
              <w:ind w:right="295"/>
              <w:spacing w:after="0" w:line="203" w:lineRule="exact"/>
              <w:rPr>
                <w:sz w:val="20"/>
                <w:szCs w:val="20"/>
                <w:color w:val="auto"/>
              </w:rPr>
            </w:pPr>
            <w:r>
              <w:rPr>
                <w:rFonts w:ascii="Arial" w:cs="Arial" w:eastAsia="Arial" w:hAnsi="Arial"/>
                <w:sz w:val="18"/>
                <w:szCs w:val="18"/>
                <w:color w:val="auto"/>
              </w:rPr>
              <w:t>24,887</w:t>
            </w:r>
            <w:r>
              <w:rPr>
                <w:rFonts w:ascii="Arial" w:cs="Arial" w:eastAsia="Arial" w:hAnsi="Arial"/>
                <w:sz w:val="22"/>
                <w:szCs w:val="22"/>
                <w:color w:val="auto"/>
                <w:vertAlign w:val="superscript"/>
              </w:rPr>
              <w:t>3</w:t>
            </w:r>
          </w:p>
        </w:tc>
      </w:tr>
      <w:tr>
        <w:trPr>
          <w:trHeight w:val="203"/>
        </w:trPr>
        <w:tc>
          <w:tcPr>
            <w:tcW w:w="7640" w:type="dxa"/>
            <w:vAlign w:val="bottom"/>
            <w:tcBorders>
              <w:left w:val="single" w:sz="8" w:color="47829E"/>
              <w:righ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Donald A. McCunniff</w:t>
            </w:r>
          </w:p>
        </w:tc>
        <w:tc>
          <w:tcPr>
            <w:tcW w:w="2300" w:type="dxa"/>
            <w:vAlign w:val="bottom"/>
            <w:tcBorders>
              <w:right w:val="single" w:sz="8" w:color="47829E"/>
            </w:tcBorders>
            <w:shd w:val="clear" w:color="auto" w:fill="E3ECF0"/>
          </w:tcPr>
          <w:p>
            <w:pPr>
              <w:jc w:val="right"/>
              <w:ind w:right="295"/>
              <w:spacing w:after="0" w:line="203" w:lineRule="exact"/>
              <w:rPr>
                <w:sz w:val="20"/>
                <w:szCs w:val="20"/>
                <w:color w:val="auto"/>
              </w:rPr>
            </w:pPr>
            <w:r>
              <w:rPr>
                <w:rFonts w:ascii="Arial" w:cs="Arial" w:eastAsia="Arial" w:hAnsi="Arial"/>
                <w:sz w:val="18"/>
                <w:szCs w:val="18"/>
                <w:color w:val="auto"/>
              </w:rPr>
              <w:t>17,092</w:t>
            </w:r>
            <w:r>
              <w:rPr>
                <w:rFonts w:ascii="Arial" w:cs="Arial" w:eastAsia="Arial" w:hAnsi="Arial"/>
                <w:sz w:val="22"/>
                <w:szCs w:val="22"/>
                <w:color w:val="auto"/>
                <w:vertAlign w:val="superscript"/>
              </w:rPr>
              <w:t>2</w:t>
            </w:r>
          </w:p>
        </w:tc>
      </w:tr>
      <w:tr>
        <w:trPr>
          <w:trHeight w:val="203"/>
        </w:trPr>
        <w:tc>
          <w:tcPr>
            <w:tcW w:w="764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William E. McDonald</w:t>
            </w:r>
          </w:p>
        </w:tc>
        <w:tc>
          <w:tcPr>
            <w:tcW w:w="2300" w:type="dxa"/>
            <w:vAlign w:val="bottom"/>
            <w:tcBorders>
              <w:right w:val="single" w:sz="8" w:color="47829E"/>
            </w:tcBorders>
          </w:tcPr>
          <w:p>
            <w:pPr>
              <w:jc w:val="right"/>
              <w:ind w:right="295"/>
              <w:spacing w:after="0" w:line="203" w:lineRule="exact"/>
              <w:rPr>
                <w:sz w:val="20"/>
                <w:szCs w:val="20"/>
                <w:color w:val="auto"/>
              </w:rPr>
            </w:pPr>
            <w:r>
              <w:rPr>
                <w:rFonts w:ascii="Arial" w:cs="Arial" w:eastAsia="Arial" w:hAnsi="Arial"/>
                <w:sz w:val="18"/>
                <w:szCs w:val="18"/>
                <w:color w:val="auto"/>
              </w:rPr>
              <w:t>32,115</w:t>
            </w:r>
            <w:r>
              <w:rPr>
                <w:rFonts w:ascii="Arial" w:cs="Arial" w:eastAsia="Arial" w:hAnsi="Arial"/>
                <w:sz w:val="22"/>
                <w:szCs w:val="22"/>
                <w:color w:val="auto"/>
                <w:vertAlign w:val="superscript"/>
              </w:rPr>
              <w:t>3</w:t>
            </w:r>
          </w:p>
        </w:tc>
      </w:tr>
      <w:tr>
        <w:trPr>
          <w:trHeight w:val="203"/>
        </w:trPr>
        <w:tc>
          <w:tcPr>
            <w:tcW w:w="7640" w:type="dxa"/>
            <w:vAlign w:val="bottom"/>
            <w:tcBorders>
              <w:left w:val="single" w:sz="8" w:color="47829E"/>
              <w:righ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Frank H. Menaker, Jr.</w:t>
            </w:r>
          </w:p>
        </w:tc>
        <w:tc>
          <w:tcPr>
            <w:tcW w:w="2300" w:type="dxa"/>
            <w:vAlign w:val="bottom"/>
            <w:tcBorders>
              <w:right w:val="single" w:sz="8" w:color="47829E"/>
            </w:tcBorders>
            <w:shd w:val="clear" w:color="auto" w:fill="E3ECF0"/>
          </w:tcPr>
          <w:p>
            <w:pPr>
              <w:jc w:val="right"/>
              <w:ind w:right="295"/>
              <w:spacing w:after="0" w:line="203" w:lineRule="exact"/>
              <w:rPr>
                <w:sz w:val="20"/>
                <w:szCs w:val="20"/>
                <w:color w:val="auto"/>
              </w:rPr>
            </w:pPr>
            <w:r>
              <w:rPr>
                <w:rFonts w:ascii="Arial" w:cs="Arial" w:eastAsia="Arial" w:hAnsi="Arial"/>
                <w:sz w:val="18"/>
                <w:szCs w:val="18"/>
                <w:color w:val="auto"/>
              </w:rPr>
              <w:t>37,553</w:t>
            </w:r>
            <w:r>
              <w:rPr>
                <w:rFonts w:ascii="Arial" w:cs="Arial" w:eastAsia="Arial" w:hAnsi="Arial"/>
                <w:sz w:val="22"/>
                <w:szCs w:val="22"/>
                <w:color w:val="auto"/>
                <w:vertAlign w:val="superscript"/>
              </w:rPr>
              <w:t>3</w:t>
            </w:r>
          </w:p>
        </w:tc>
      </w:tr>
      <w:tr>
        <w:trPr>
          <w:trHeight w:val="203"/>
        </w:trPr>
        <w:tc>
          <w:tcPr>
            <w:tcW w:w="764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C. Howard Nye</w:t>
            </w:r>
          </w:p>
        </w:tc>
        <w:tc>
          <w:tcPr>
            <w:tcW w:w="2300" w:type="dxa"/>
            <w:vAlign w:val="bottom"/>
            <w:tcBorders>
              <w:right w:val="single" w:sz="8" w:color="47829E"/>
            </w:tcBorders>
          </w:tcPr>
          <w:p>
            <w:pPr>
              <w:jc w:val="right"/>
              <w:ind w:right="295"/>
              <w:spacing w:after="0" w:line="203" w:lineRule="exact"/>
              <w:rPr>
                <w:sz w:val="20"/>
                <w:szCs w:val="20"/>
                <w:color w:val="auto"/>
              </w:rPr>
            </w:pPr>
            <w:r>
              <w:rPr>
                <w:rFonts w:ascii="Arial" w:cs="Arial" w:eastAsia="Arial" w:hAnsi="Arial"/>
                <w:sz w:val="18"/>
                <w:szCs w:val="18"/>
                <w:color w:val="auto"/>
              </w:rPr>
              <w:t>179,863</w:t>
            </w:r>
            <w:r>
              <w:rPr>
                <w:rFonts w:ascii="Arial" w:cs="Arial" w:eastAsia="Arial" w:hAnsi="Arial"/>
                <w:sz w:val="22"/>
                <w:szCs w:val="22"/>
                <w:color w:val="auto"/>
                <w:vertAlign w:val="superscript"/>
              </w:rPr>
              <w:t>2</w:t>
            </w:r>
          </w:p>
        </w:tc>
      </w:tr>
      <w:tr>
        <w:trPr>
          <w:trHeight w:val="203"/>
        </w:trPr>
        <w:tc>
          <w:tcPr>
            <w:tcW w:w="7640" w:type="dxa"/>
            <w:vAlign w:val="bottom"/>
            <w:tcBorders>
              <w:left w:val="single" w:sz="8" w:color="47829E"/>
              <w:righ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Laree E. Perez</w:t>
            </w:r>
          </w:p>
        </w:tc>
        <w:tc>
          <w:tcPr>
            <w:tcW w:w="2300" w:type="dxa"/>
            <w:vAlign w:val="bottom"/>
            <w:tcBorders>
              <w:right w:val="single" w:sz="8" w:color="47829E"/>
            </w:tcBorders>
            <w:shd w:val="clear" w:color="auto" w:fill="E3ECF0"/>
          </w:tcPr>
          <w:p>
            <w:pPr>
              <w:jc w:val="right"/>
              <w:ind w:right="295"/>
              <w:spacing w:after="0" w:line="203" w:lineRule="exact"/>
              <w:rPr>
                <w:sz w:val="20"/>
                <w:szCs w:val="20"/>
                <w:color w:val="auto"/>
              </w:rPr>
            </w:pPr>
            <w:r>
              <w:rPr>
                <w:rFonts w:ascii="Arial" w:cs="Arial" w:eastAsia="Arial" w:hAnsi="Arial"/>
                <w:sz w:val="18"/>
                <w:szCs w:val="18"/>
                <w:color w:val="auto"/>
              </w:rPr>
              <w:t>21,267</w:t>
            </w:r>
            <w:r>
              <w:rPr>
                <w:rFonts w:ascii="Arial" w:cs="Arial" w:eastAsia="Arial" w:hAnsi="Arial"/>
                <w:sz w:val="22"/>
                <w:szCs w:val="22"/>
                <w:color w:val="auto"/>
                <w:vertAlign w:val="superscript"/>
              </w:rPr>
              <w:t>3</w:t>
            </w:r>
          </w:p>
        </w:tc>
      </w:tr>
      <w:tr>
        <w:trPr>
          <w:trHeight w:val="203"/>
        </w:trPr>
        <w:tc>
          <w:tcPr>
            <w:tcW w:w="764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Michael J. Quillen</w:t>
            </w:r>
          </w:p>
        </w:tc>
        <w:tc>
          <w:tcPr>
            <w:tcW w:w="2300" w:type="dxa"/>
            <w:vAlign w:val="bottom"/>
            <w:tcBorders>
              <w:right w:val="single" w:sz="8" w:color="47829E"/>
            </w:tcBorders>
          </w:tcPr>
          <w:p>
            <w:pPr>
              <w:jc w:val="right"/>
              <w:ind w:right="295"/>
              <w:spacing w:after="0" w:line="203" w:lineRule="exact"/>
              <w:rPr>
                <w:sz w:val="20"/>
                <w:szCs w:val="20"/>
                <w:color w:val="auto"/>
              </w:rPr>
            </w:pPr>
            <w:r>
              <w:rPr>
                <w:rFonts w:ascii="Arial" w:cs="Arial" w:eastAsia="Arial" w:hAnsi="Arial"/>
                <w:sz w:val="18"/>
                <w:szCs w:val="18"/>
                <w:color w:val="auto"/>
              </w:rPr>
              <w:t>15,955</w:t>
            </w:r>
            <w:r>
              <w:rPr>
                <w:rFonts w:ascii="Arial" w:cs="Arial" w:eastAsia="Arial" w:hAnsi="Arial"/>
                <w:sz w:val="22"/>
                <w:szCs w:val="22"/>
                <w:color w:val="auto"/>
                <w:vertAlign w:val="superscript"/>
              </w:rPr>
              <w:t>3</w:t>
            </w:r>
          </w:p>
        </w:tc>
      </w:tr>
      <w:tr>
        <w:trPr>
          <w:trHeight w:val="203"/>
        </w:trPr>
        <w:tc>
          <w:tcPr>
            <w:tcW w:w="7640" w:type="dxa"/>
            <w:vAlign w:val="bottom"/>
            <w:tcBorders>
              <w:left w:val="single" w:sz="8" w:color="47829E"/>
              <w:righ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Dennis L. Rediker</w:t>
            </w:r>
          </w:p>
        </w:tc>
        <w:tc>
          <w:tcPr>
            <w:tcW w:w="2300" w:type="dxa"/>
            <w:vAlign w:val="bottom"/>
            <w:tcBorders>
              <w:right w:val="single" w:sz="8" w:color="47829E"/>
            </w:tcBorders>
            <w:shd w:val="clear" w:color="auto" w:fill="E3ECF0"/>
          </w:tcPr>
          <w:p>
            <w:pPr>
              <w:jc w:val="right"/>
              <w:ind w:right="295"/>
              <w:spacing w:after="0" w:line="203" w:lineRule="exact"/>
              <w:rPr>
                <w:sz w:val="20"/>
                <w:szCs w:val="20"/>
                <w:color w:val="auto"/>
              </w:rPr>
            </w:pPr>
            <w:r>
              <w:rPr>
                <w:rFonts w:ascii="Arial" w:cs="Arial" w:eastAsia="Arial" w:hAnsi="Arial"/>
                <w:sz w:val="18"/>
                <w:szCs w:val="18"/>
                <w:color w:val="auto"/>
              </w:rPr>
              <w:t>19,739</w:t>
            </w:r>
            <w:r>
              <w:rPr>
                <w:rFonts w:ascii="Arial" w:cs="Arial" w:eastAsia="Arial" w:hAnsi="Arial"/>
                <w:sz w:val="22"/>
                <w:szCs w:val="22"/>
                <w:color w:val="auto"/>
                <w:vertAlign w:val="superscript"/>
              </w:rPr>
              <w:t>3</w:t>
            </w:r>
          </w:p>
        </w:tc>
      </w:tr>
      <w:tr>
        <w:trPr>
          <w:trHeight w:val="203"/>
        </w:trPr>
        <w:tc>
          <w:tcPr>
            <w:tcW w:w="764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Richard A. Vinroot</w:t>
            </w:r>
          </w:p>
        </w:tc>
        <w:tc>
          <w:tcPr>
            <w:tcW w:w="2300" w:type="dxa"/>
            <w:vAlign w:val="bottom"/>
            <w:tcBorders>
              <w:right w:val="single" w:sz="8" w:color="47829E"/>
            </w:tcBorders>
          </w:tcPr>
          <w:p>
            <w:pPr>
              <w:jc w:val="right"/>
              <w:ind w:right="295"/>
              <w:spacing w:after="0" w:line="203" w:lineRule="exact"/>
              <w:rPr>
                <w:sz w:val="20"/>
                <w:szCs w:val="20"/>
                <w:color w:val="auto"/>
              </w:rPr>
            </w:pPr>
            <w:r>
              <w:rPr>
                <w:rFonts w:ascii="Arial" w:cs="Arial" w:eastAsia="Arial" w:hAnsi="Arial"/>
                <w:sz w:val="18"/>
                <w:szCs w:val="18"/>
                <w:color w:val="auto"/>
              </w:rPr>
              <w:t>32,193</w:t>
            </w:r>
            <w:r>
              <w:rPr>
                <w:rFonts w:ascii="Arial" w:cs="Arial" w:eastAsia="Arial" w:hAnsi="Arial"/>
                <w:sz w:val="22"/>
                <w:szCs w:val="22"/>
                <w:color w:val="auto"/>
                <w:vertAlign w:val="superscript"/>
              </w:rPr>
              <w:t>3</w:t>
            </w:r>
          </w:p>
        </w:tc>
      </w:tr>
      <w:tr>
        <w:trPr>
          <w:trHeight w:val="203"/>
        </w:trPr>
        <w:tc>
          <w:tcPr>
            <w:tcW w:w="7640" w:type="dxa"/>
            <w:vAlign w:val="bottom"/>
            <w:tcBorders>
              <w:left w:val="single" w:sz="8" w:color="47829E"/>
              <w:righ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Stephen P. Zelnak, Jr.</w:t>
            </w:r>
          </w:p>
        </w:tc>
        <w:tc>
          <w:tcPr>
            <w:tcW w:w="2300" w:type="dxa"/>
            <w:vAlign w:val="bottom"/>
            <w:tcBorders>
              <w:right w:val="single" w:sz="8" w:color="47829E"/>
            </w:tcBorders>
            <w:shd w:val="clear" w:color="auto" w:fill="E3ECF0"/>
          </w:tcPr>
          <w:p>
            <w:pPr>
              <w:jc w:val="right"/>
              <w:ind w:right="295"/>
              <w:spacing w:after="0" w:line="203" w:lineRule="exact"/>
              <w:rPr>
                <w:sz w:val="20"/>
                <w:szCs w:val="20"/>
                <w:color w:val="auto"/>
              </w:rPr>
            </w:pPr>
            <w:r>
              <w:rPr>
                <w:rFonts w:ascii="Arial" w:cs="Arial" w:eastAsia="Arial" w:hAnsi="Arial"/>
                <w:sz w:val="18"/>
                <w:szCs w:val="18"/>
                <w:color w:val="auto"/>
              </w:rPr>
              <w:t>103,191</w:t>
            </w:r>
            <w:r>
              <w:rPr>
                <w:rFonts w:ascii="Arial" w:cs="Arial" w:eastAsia="Arial" w:hAnsi="Arial"/>
                <w:sz w:val="22"/>
                <w:szCs w:val="22"/>
                <w:color w:val="auto"/>
                <w:vertAlign w:val="superscript"/>
              </w:rPr>
              <w:t>3</w:t>
            </w:r>
          </w:p>
        </w:tc>
      </w:tr>
      <w:tr>
        <w:trPr>
          <w:trHeight w:val="203"/>
        </w:trPr>
        <w:tc>
          <w:tcPr>
            <w:tcW w:w="7640" w:type="dxa"/>
            <w:vAlign w:val="bottom"/>
            <w:tcBorders>
              <w:left w:val="single" w:sz="8" w:color="47829E"/>
              <w:bottom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All Directors and executive officers as a group (15 individuals including those named above)</w:t>
            </w:r>
          </w:p>
        </w:tc>
        <w:tc>
          <w:tcPr>
            <w:tcW w:w="2300" w:type="dxa"/>
            <w:vAlign w:val="bottom"/>
            <w:tcBorders>
              <w:bottom w:val="single" w:sz="8" w:color="47829E"/>
              <w:right w:val="single" w:sz="8" w:color="47829E"/>
            </w:tcBorders>
          </w:tcPr>
          <w:p>
            <w:pPr>
              <w:jc w:val="center"/>
              <w:ind w:right="95"/>
              <w:spacing w:after="0" w:line="203" w:lineRule="exact"/>
              <w:rPr>
                <w:sz w:val="20"/>
                <w:szCs w:val="20"/>
                <w:color w:val="auto"/>
              </w:rPr>
            </w:pPr>
            <w:r>
              <w:rPr>
                <w:rFonts w:ascii="Arial" w:cs="Arial" w:eastAsia="Arial" w:hAnsi="Arial"/>
                <w:sz w:val="18"/>
                <w:szCs w:val="18"/>
                <w:color w:val="auto"/>
              </w:rPr>
              <w:t>719,665</w:t>
            </w:r>
            <w:r>
              <w:rPr>
                <w:rFonts w:ascii="Arial" w:cs="Arial" w:eastAsia="Arial" w:hAnsi="Arial"/>
                <w:sz w:val="22"/>
                <w:szCs w:val="22"/>
                <w:color w:val="auto"/>
                <w:vertAlign w:val="superscript"/>
              </w:rPr>
              <w:t>3,4,5</w:t>
            </w:r>
          </w:p>
        </w:tc>
      </w:tr>
    </w:tbl>
    <w:p>
      <w:pPr>
        <w:spacing w:after="0" w:line="80" w:lineRule="exact"/>
        <w:rPr>
          <w:sz w:val="20"/>
          <w:szCs w:val="20"/>
          <w:color w:val="auto"/>
        </w:rPr>
      </w:pPr>
    </w:p>
    <w:p>
      <w:pPr>
        <w:ind w:left="120" w:right="120" w:hanging="112"/>
        <w:spacing w:after="0" w:line="191" w:lineRule="auto"/>
        <w:tabs>
          <w:tab w:leader="none" w:pos="12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1.07% of the shares of common stock outstanding as of March 13, 2015. None of the shares reported are pledged as security.</w:t>
      </w:r>
    </w:p>
    <w:p>
      <w:pPr>
        <w:spacing w:after="0" w:line="69" w:lineRule="exact"/>
        <w:rPr>
          <w:sz w:val="20"/>
          <w:szCs w:val="20"/>
          <w:color w:val="auto"/>
        </w:rPr>
      </w:pPr>
    </w:p>
    <w:p>
      <w:pPr>
        <w:ind w:left="120" w:right="120" w:hanging="112"/>
        <w:spacing w:after="0" w:line="212" w:lineRule="auto"/>
        <w:tabs>
          <w:tab w:leader="none" w:pos="120" w:val="left"/>
        </w:tabs>
        <w:numPr>
          <w:ilvl w:val="0"/>
          <w:numId w:val="8"/>
        </w:numPr>
        <w:rPr>
          <w:rFonts w:ascii="Arial" w:cs="Arial" w:eastAsia="Arial" w:hAnsi="Arial"/>
          <w:sz w:val="21"/>
          <w:szCs w:val="21"/>
          <w:color w:val="auto"/>
          <w:vertAlign w:val="superscript"/>
        </w:rPr>
      </w:pPr>
      <w:r>
        <w:rPr>
          <w:rFonts w:ascii="Arial" w:cs="Arial" w:eastAsia="Arial" w:hAnsi="Arial"/>
          <w:sz w:val="13"/>
          <w:szCs w:val="13"/>
          <w:color w:val="auto"/>
        </w:rPr>
        <w:t>The number of shares owned for each of Mr. Nye, Ms. Lloyd, Ms. Bar, Mr. McCunniff and Mr. Grant assumes that options held by each of them covering shares of common stock in the amounts indicated, which are currently exercisable within 60 days of March 13, 2015, have been exercised: Mr. Nye, 76,339; Ms. Lloyd, 38,915; Ms. Bar, 31,758; Mr. McCunniff, 2,624; and Mr. Grant, 0. The amounts reported also include common stock units credited to each of the named executives in connection with (i) their deferral of a portion of their cash bonus under the Martin Marietta Materials, Inc. Incentive Stock Plan, and (ii) restricted stock awards (not including any performance share units) granted under the Martin Marietta Materials, Inc. Amended and Restated Stock-Based Award Plan that are subject to forfeiture in accordance with the terms of the plan, each in the following amounts: Mr. Nye, 12,989 and 50,566, respectively;</w:t>
      </w:r>
    </w:p>
    <w:p>
      <w:pPr>
        <w:spacing w:after="0" w:line="1" w:lineRule="exact"/>
        <w:rPr>
          <w:rFonts w:ascii="Arial" w:cs="Arial" w:eastAsia="Arial" w:hAnsi="Arial"/>
          <w:sz w:val="21"/>
          <w:szCs w:val="21"/>
          <w:color w:val="auto"/>
          <w:vertAlign w:val="superscript"/>
        </w:rPr>
      </w:pPr>
    </w:p>
    <w:p>
      <w:pPr>
        <w:ind w:left="120" w:right="80"/>
        <w:spacing w:after="0" w:line="231" w:lineRule="auto"/>
        <w:rPr>
          <w:rFonts w:ascii="Arial" w:cs="Arial" w:eastAsia="Arial" w:hAnsi="Arial"/>
          <w:sz w:val="21"/>
          <w:szCs w:val="21"/>
          <w:color w:val="auto"/>
          <w:vertAlign w:val="superscript"/>
        </w:rPr>
      </w:pPr>
      <w:r>
        <w:rPr>
          <w:rFonts w:ascii="Arial" w:cs="Arial" w:eastAsia="Arial" w:hAnsi="Arial"/>
          <w:sz w:val="14"/>
          <w:szCs w:val="14"/>
          <w:color w:val="auto"/>
        </w:rPr>
        <w:t>Ms. Lloyd, 2,998 and 21,535, respectively; Ms. Bar, 2,379 and 17,796, respectively; Mr. McCunniff, 1,395 and 13,073, respectively; and Mr. Grant, 732 and 8,459, respectively. There are no voting rights associated with the stock units.</w:t>
      </w:r>
    </w:p>
    <w:p>
      <w:pPr>
        <w:spacing w:after="0" w:line="68" w:lineRule="exact"/>
        <w:rPr>
          <w:sz w:val="20"/>
          <w:szCs w:val="20"/>
          <w:color w:val="auto"/>
        </w:rPr>
      </w:pPr>
    </w:p>
    <w:p>
      <w:pPr>
        <w:ind w:left="120" w:right="80" w:hanging="112"/>
        <w:spacing w:after="0" w:line="219" w:lineRule="auto"/>
        <w:tabs>
          <w:tab w:leader="none" w:pos="120" w:val="left"/>
        </w:tabs>
        <w:numPr>
          <w:ilvl w:val="0"/>
          <w:numId w:val="9"/>
        </w:numPr>
        <w:rPr>
          <w:rFonts w:ascii="Arial" w:cs="Arial" w:eastAsia="Arial" w:hAnsi="Arial"/>
          <w:sz w:val="21"/>
          <w:szCs w:val="21"/>
          <w:color w:val="auto"/>
          <w:vertAlign w:val="superscript"/>
        </w:rPr>
      </w:pPr>
      <w:r>
        <w:rPr>
          <w:rFonts w:ascii="Arial" w:cs="Arial" w:eastAsia="Arial" w:hAnsi="Arial"/>
          <w:sz w:val="13"/>
          <w:szCs w:val="13"/>
          <w:color w:val="auto"/>
        </w:rPr>
        <w:t>Amounts reported include (1) compensation paid on an annual basis that Directors have received in common stock units that is deferred pursuant to the Amended and Restated Martin Marietta Materials, Inc. Common Stock Purchase Plan for Directors and (2) 910 restricted stock units that each Director received in 2014 as part of their compensation. The Directors do not have voting or investment power for their respective common stock units and restricted stock units. The number of common stock units credited to each of the Directors pursuant to the Common Stock Purchase Plan as of March 13, 2015 is as follows: Ms. Cole, 13,511; Mr. Maffucci, 8,568; Mr. McDonald, 15,796; Mr. Menaker, 18,630; Ms. Perez, 4,948; Mr. Quillen, 5,636; Mr. Rediker, 9,420; Mr. Vinroot, 15,874; and Mr. Zelnak, 5,195. Amounts reported also include options for common stock for each Director, all of which are currently exercisable, as follows: Ms. Cole, 12,000; Mr. Maffucci, 9,000; Mr. McDonald, 9,000; Mr. Menaker, 9,000; Ms. Perez, 9,000; Mr. Quillen, 3,000; Mr. Rediker, 3,000; Mr. Vinroot, 9,000; and Mr. Zelnak, 82,356.</w:t>
      </w:r>
    </w:p>
    <w:p>
      <w:pPr>
        <w:ind w:left="120" w:hanging="112"/>
        <w:spacing w:after="0" w:line="220" w:lineRule="auto"/>
        <w:tabs>
          <w:tab w:leader="none" w:pos="12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Includes an approximation of the number of shares in IRA account.</w:t>
      </w:r>
    </w:p>
    <w:p>
      <w:pPr>
        <w:spacing w:after="0" w:line="68" w:lineRule="exact"/>
        <w:rPr>
          <w:sz w:val="20"/>
          <w:szCs w:val="20"/>
          <w:color w:val="auto"/>
        </w:rPr>
      </w:pPr>
    </w:p>
    <w:p>
      <w:pPr>
        <w:ind w:left="120" w:right="60" w:hanging="112"/>
        <w:spacing w:after="0" w:line="202" w:lineRule="auto"/>
        <w:tabs>
          <w:tab w:leader="none" w:pos="12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Amounts reported include: (1) 300,705 options held by Directors and executive officers, which are currently exercisable or exercisable within 60 days of March 13, 2015; (2) 22,045 common stock units credited to executive officers in connection with their deferral of a portion of their cash bonus under the Martin Marietta Materials, Inc. Incentive Stock Plan; (3) 121,570 common stock units credited to executive officers in connection with restricted stock awards granted under the Martin Marietta Materials, Inc. Amended and Restated Stock-Based Award Plan that are subject to forfeiture in accordance with the terms of the plan; and (4) 64,037 common stock units credited to the Directors in connection with restricted stock awards granted under the Martin Marietta Materials, Inc. Amended and Restated Stock-Based Award Plan. There are no voting rights associated with the stock units.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Board of Directors currently consists of ten members, nine of whom are non-employee Directors. The Board is divided into three classes with three-year terms.</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Board of Directors has nominated four persons for election as Directors to serve three-year terms expiring in 2018. Unless otherwise directed, proxies will be voted in favor of these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our Bylaws, nominations of persons for election to the Board of Directors may be made at an annual meeting of shareholders by the Board of Directors and by any shareholder who complies with the notice procedures set forth in the Bylaws. As described in the proxy statement for our 2014 annual meeting, for a nomination to be properly made by a shareholder at the 2015 annual meeting, the shareholder’s notice must have been sent to, and received by, our Secretary at our principal executive offices between January 17, 2015 and February 16, 2015. No such notice was received during this period. Should any of the following nominees be unavailable for election by reason of death or other unexpected occurrence, the proxy, to the extent permitted by applicable law, may be voted with discretionary authority in connection with the nomination by the Board of Directors and the election of any substitute nominee.</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sets forth the age and certain other biographical information for each of the nominees for election and for each of the other members of the Board of Directors as of the date of this proxy statement.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5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ELECTION OF DIRECTORS</w:t>
      </w:r>
    </w:p>
    <w:p>
      <w:pPr>
        <w:jc w:val="center"/>
        <w:spacing w:after="0"/>
        <w:rPr>
          <w:sz w:val="20"/>
          <w:szCs w:val="20"/>
          <w:color w:val="auto"/>
        </w:rPr>
      </w:pPr>
      <w:r>
        <w:rPr>
          <w:rFonts w:ascii="Arial" w:cs="Arial" w:eastAsia="Arial" w:hAnsi="Arial"/>
          <w:sz w:val="22"/>
          <w:szCs w:val="22"/>
          <w:i w:val="1"/>
          <w:iCs w:val="1"/>
          <w:color w:val="47829E"/>
        </w:rPr>
        <w:t>(Item 1 on Proxy Card)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Nominees for Election to the Board of Directors for a Term Continuing Until 2018:</w:t>
      </w:r>
    </w:p>
    <w:p>
      <w:pPr>
        <w:spacing w:after="0" w:line="19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 xml:space="preserve">David G. Maffucci </w:t>
      </w:r>
      <w:r>
        <w:rPr>
          <w:rFonts w:ascii="Arial" w:cs="Arial" w:eastAsia="Arial" w:hAnsi="Arial"/>
          <w:sz w:val="18"/>
          <w:szCs w:val="18"/>
          <w:color w:val="auto"/>
        </w:rPr>
        <w:t>(64). Director (since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235075" cy="18522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35075" cy="1852295"/>
                    </a:xfrm>
                    <a:prstGeom prst="rect">
                      <a:avLst/>
                    </a:prstGeom>
                    <a:noFill/>
                  </pic:spPr>
                </pic:pic>
              </a:graphicData>
            </a:graphic>
          </wp:anchor>
        </w:drawing>
      </w:r>
    </w:p>
    <w:p>
      <w:pPr>
        <w:ind w:left="2740"/>
        <w:spacing w:after="0"/>
        <w:rPr>
          <w:sz w:val="20"/>
          <w:szCs w:val="20"/>
          <w:color w:val="auto"/>
        </w:rPr>
      </w:pPr>
      <w:r>
        <w:rPr>
          <w:rFonts w:ascii="Arial" w:cs="Arial" w:eastAsia="Arial" w:hAnsi="Arial"/>
          <w:sz w:val="18"/>
          <w:szCs w:val="18"/>
          <w:i w:val="1"/>
          <w:iCs w:val="1"/>
          <w:color w:val="auto"/>
        </w:rPr>
        <w:t>Chair of the Audit Committee and member of the Finance Committee.</w:t>
      </w:r>
    </w:p>
    <w:p>
      <w:pPr>
        <w:spacing w:after="0" w:line="198" w:lineRule="exact"/>
        <w:rPr>
          <w:sz w:val="20"/>
          <w:szCs w:val="20"/>
          <w:color w:val="auto"/>
        </w:rPr>
      </w:pPr>
    </w:p>
    <w:p>
      <w:pPr>
        <w:jc w:val="both"/>
        <w:ind w:left="2740"/>
        <w:spacing w:after="0" w:line="234" w:lineRule="auto"/>
        <w:rPr>
          <w:sz w:val="20"/>
          <w:szCs w:val="20"/>
          <w:color w:val="auto"/>
        </w:rPr>
      </w:pPr>
      <w:r>
        <w:rPr>
          <w:rFonts w:ascii="Arial" w:cs="Arial" w:eastAsia="Arial" w:hAnsi="Arial"/>
          <w:sz w:val="18"/>
          <w:szCs w:val="18"/>
          <w:color w:val="auto"/>
        </w:rPr>
        <w:t>Mr. Maffucci is a Director of Domtar Corporation, which designs, manufactures, markets and distributes a wide variety of fiber-based products, including communication papers, specialty and packaging papers, and adult incontinence products. He is currently the Chair of its Audit Committee and a member of its Finance Committee and Environmental, Health, Safety and Sustainability Committee. Mr. Maffucci served as Executive Vice President and Chief Financial Officer of Xerium Technologies, Inc., a manufacturer and supplier of consumable products used in paper production, from 2009 to 2010, as well as on its Board of Directors from 2008 until 2010, serving on its Audit and Compensation Committees from 2008 to 2009. Mr. Maffucci previously served as Executive Vice President and Chief Financial Officer of Bowater Incorporated. On March 30, 2010, Xerium Technologies, Inc. filed a voluntary petition for relief under Chapter 11 of the Federal bankruptcy laws as part of a “pre-arranged” restructuring plan with the support of its lenders. On May 25, 2010, Xerium Technologies, Inc. emerged from Chapter 11 protection. Mr. Maffucci previously worked at KPMG and is a Certified Public Accountant. He received his Bachelor’s degree from Sacred Heart University.</w:t>
      </w:r>
    </w:p>
    <w:p>
      <w:pPr>
        <w:spacing w:after="0" w:line="5" w:lineRule="exact"/>
        <w:rPr>
          <w:sz w:val="20"/>
          <w:szCs w:val="20"/>
          <w:color w:val="auto"/>
        </w:rPr>
      </w:pPr>
    </w:p>
    <w:p>
      <w:pPr>
        <w:ind w:left="2740"/>
        <w:spacing w:after="0"/>
        <w:rPr>
          <w:sz w:val="20"/>
          <w:szCs w:val="20"/>
          <w:color w:val="auto"/>
        </w:rPr>
      </w:pPr>
      <w:r>
        <w:rPr>
          <w:rFonts w:ascii="Arial" w:cs="Arial" w:eastAsia="Arial" w:hAnsi="Arial"/>
          <w:sz w:val="18"/>
          <w:szCs w:val="18"/>
          <w:b w:val="1"/>
          <w:bCs w:val="1"/>
          <w:i w:val="1"/>
          <w:iCs w:val="1"/>
          <w:color w:val="auto"/>
        </w:rPr>
        <w:t>Key attributes, experience and skills:</w:t>
      </w:r>
    </w:p>
    <w:p>
      <w:pPr>
        <w:jc w:val="both"/>
        <w:ind w:left="2740"/>
        <w:spacing w:after="0" w:line="236" w:lineRule="auto"/>
        <w:rPr>
          <w:sz w:val="20"/>
          <w:szCs w:val="20"/>
          <w:color w:val="auto"/>
        </w:rPr>
      </w:pPr>
      <w:r>
        <w:rPr>
          <w:rFonts w:ascii="Arial" w:cs="Arial" w:eastAsia="Arial" w:hAnsi="Arial"/>
          <w:sz w:val="18"/>
          <w:szCs w:val="18"/>
          <w:color w:val="auto"/>
        </w:rPr>
        <w:t>Mr. Maffucci brings to the Board extensive financial experience gained through his positions as chief financial officer, a member of the audit committees of publicly-traded companies, and formerly with a large public accounting firm. This experience enables him to provide insight into Martin Marietta’s financial statements, accounting principles and practices, auditing, internal control over financial reporting, and risk management processes.</w:t>
      </w:r>
    </w:p>
    <w:p>
      <w:pPr>
        <w:spacing w:after="0" w:line="20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 xml:space="preserve">William E. McDonald </w:t>
      </w:r>
      <w:r>
        <w:rPr>
          <w:rFonts w:ascii="Arial" w:cs="Arial" w:eastAsia="Arial" w:hAnsi="Arial"/>
          <w:sz w:val="18"/>
          <w:szCs w:val="18"/>
          <w:color w:val="auto"/>
        </w:rPr>
        <w:t>(72). Director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235075" cy="18522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35075" cy="1852295"/>
                    </a:xfrm>
                    <a:prstGeom prst="rect">
                      <a:avLst/>
                    </a:prstGeom>
                    <a:noFill/>
                  </pic:spPr>
                </pic:pic>
              </a:graphicData>
            </a:graphic>
          </wp:anchor>
        </w:drawing>
      </w:r>
    </w:p>
    <w:p>
      <w:pPr>
        <w:jc w:val="both"/>
        <w:ind w:left="2740"/>
        <w:spacing w:after="0" w:line="239" w:lineRule="auto"/>
        <w:rPr>
          <w:sz w:val="20"/>
          <w:szCs w:val="20"/>
          <w:color w:val="auto"/>
        </w:rPr>
      </w:pPr>
      <w:r>
        <w:rPr>
          <w:rFonts w:ascii="Arial" w:cs="Arial" w:eastAsia="Arial" w:hAnsi="Arial"/>
          <w:sz w:val="18"/>
          <w:szCs w:val="18"/>
          <w:i w:val="1"/>
          <w:iCs w:val="1"/>
          <w:color w:val="auto"/>
        </w:rPr>
        <w:t>Chair of the Nominating and Corporate Governance Committee, member of the Executive Committee and the Management Development and Compensation Committee.</w:t>
      </w:r>
    </w:p>
    <w:p>
      <w:pPr>
        <w:spacing w:after="0" w:line="195" w:lineRule="exact"/>
        <w:rPr>
          <w:sz w:val="20"/>
          <w:szCs w:val="20"/>
          <w:color w:val="auto"/>
        </w:rPr>
      </w:pPr>
    </w:p>
    <w:p>
      <w:pPr>
        <w:jc w:val="both"/>
        <w:ind w:left="2740"/>
        <w:spacing w:after="0" w:line="234" w:lineRule="auto"/>
        <w:rPr>
          <w:sz w:val="20"/>
          <w:szCs w:val="20"/>
          <w:color w:val="auto"/>
        </w:rPr>
      </w:pPr>
      <w:r>
        <w:rPr>
          <w:rFonts w:ascii="Arial" w:cs="Arial" w:eastAsia="Arial" w:hAnsi="Arial"/>
          <w:sz w:val="18"/>
          <w:szCs w:val="18"/>
          <w:color w:val="auto"/>
        </w:rPr>
        <w:t>Mr. McDonald served as Senior Vice President, Customer Service Operations, Sprint Corporation, a telecommunications company, until his retirement in 2000. Before that, Mr. McDonald served as President and Chief Executive Officer of Sprint Mid-Atlantic Telecom and Sprint Mid-Atlantic Operations, and was President and Chief Executive Officer for the United Telephone-Eastern in Carlisle, Pennsylvania, which followed various positions in increasing responsibility. Mr. McDonald began working with Sprint in 1968 when he joined Sprint United Telephone-Southeast. Mr. McDonald received a B.S. from Western Carolina University with a concentration in Mathematics and an M.B.A. from East Tennessee State University.</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18"/>
          <w:szCs w:val="18"/>
          <w:b w:val="1"/>
          <w:bCs w:val="1"/>
          <w:i w:val="1"/>
          <w:iCs w:val="1"/>
          <w:color w:val="auto"/>
        </w:rPr>
        <w:t>Key attributes, experience and skills:</w:t>
      </w:r>
    </w:p>
    <w:p>
      <w:pPr>
        <w:jc w:val="both"/>
        <w:ind w:left="2740"/>
        <w:spacing w:after="0" w:line="237" w:lineRule="auto"/>
        <w:rPr>
          <w:sz w:val="20"/>
          <w:szCs w:val="20"/>
          <w:color w:val="auto"/>
        </w:rPr>
      </w:pPr>
      <w:r>
        <w:rPr>
          <w:rFonts w:ascii="Arial" w:cs="Arial" w:eastAsia="Arial" w:hAnsi="Arial"/>
          <w:sz w:val="18"/>
          <w:szCs w:val="18"/>
          <w:color w:val="auto"/>
        </w:rPr>
        <w:t>Mr. McDonald brings to the Board leadership, corporate governance, executive compensation, customer service, marketing, sales, and human resources experience from his service as chief executive officer of large business regions with significant operations. His 18-year tenure on the Board gives him a valuable perspective into our business, its strategy and industry leadership.</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56" w:right="239" w:bottom="1440" w:gutter="0" w:footer="0" w:header="0"/>
        </w:sectPr>
      </w:pPr>
    </w:p>
    <w:bookmarkStart w:id="11" w:name="page12"/>
    <w:bookmarkEnd w:id="11"/>
    <w:p>
      <w:pPr>
        <w:ind w:left="1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Frank H. Menaker, Jr. </w:t>
      </w:r>
      <w:r>
        <w:rPr>
          <w:rFonts w:ascii="Arial" w:cs="Arial" w:eastAsia="Arial" w:hAnsi="Arial"/>
          <w:sz w:val="18"/>
          <w:szCs w:val="18"/>
          <w:color w:val="auto"/>
        </w:rPr>
        <w:t>(74). Director (since 1993).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-76200</wp:posOffset>
            </wp:positionV>
            <wp:extent cx="1235075" cy="18522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35075" cy="1852295"/>
                    </a:xfrm>
                    <a:prstGeom prst="rect">
                      <a:avLst/>
                    </a:prstGeom>
                    <a:noFill/>
                  </pic:spPr>
                </pic:pic>
              </a:graphicData>
            </a:graphic>
          </wp:anchor>
        </w:drawing>
      </w:r>
    </w:p>
    <w:p>
      <w:pPr>
        <w:jc w:val="both"/>
        <w:ind w:left="1540"/>
        <w:spacing w:after="0" w:line="239" w:lineRule="auto"/>
        <w:rPr>
          <w:sz w:val="20"/>
          <w:szCs w:val="20"/>
          <w:color w:val="auto"/>
        </w:rPr>
      </w:pPr>
      <w:r>
        <w:rPr>
          <w:rFonts w:ascii="Arial" w:cs="Arial" w:eastAsia="Arial" w:hAnsi="Arial"/>
          <w:sz w:val="18"/>
          <w:szCs w:val="18"/>
          <w:i w:val="1"/>
          <w:iCs w:val="1"/>
          <w:color w:val="auto"/>
        </w:rPr>
        <w:t>Member of the Audit Committee, the Ethics, Environment, Safety and Health Committee, the Executive Committee and the Management Development and Compensation Committee.</w:t>
      </w:r>
    </w:p>
    <w:p>
      <w:pPr>
        <w:spacing w:after="0" w:line="195" w:lineRule="exact"/>
        <w:rPr>
          <w:sz w:val="20"/>
          <w:szCs w:val="20"/>
          <w:color w:val="auto"/>
        </w:rPr>
      </w:pPr>
    </w:p>
    <w:p>
      <w:pPr>
        <w:jc w:val="both"/>
        <w:ind w:left="1540"/>
        <w:spacing w:after="0" w:line="266" w:lineRule="auto"/>
        <w:rPr>
          <w:sz w:val="20"/>
          <w:szCs w:val="20"/>
          <w:color w:val="auto"/>
        </w:rPr>
      </w:pPr>
      <w:r>
        <w:rPr>
          <w:rFonts w:ascii="Arial" w:cs="Arial" w:eastAsia="Arial" w:hAnsi="Arial"/>
          <w:sz w:val="16"/>
          <w:szCs w:val="16"/>
          <w:color w:val="auto"/>
        </w:rPr>
        <w:t>Mr. Menaker previously served as Senior Vice President and General Counsel of Lockheed Martin Corporation, a defense, aeronautics, and aerospace company, from 1996 until 2005, and previously was General Counsel of Martin Marietta Corporation from 1981 to 1996. During his tenure, Mr. Menaker helped guide Lockheed Martin Corporation and Martin Marietta Corporation through a period of consolidation in the defense industry, beginning with Martin Marietta Corporation’s successful “Pac Man” defense of Bendix Corporation’s attempted hostile takeover of Martin Marietta Corporation in 1982. He retired from Lockheed Martin Corporation in 2006. From 2006 to 2012, Mr. Menaker was a member, and subsequently counsel in the DLA Piper international law firm, based in Washington, D.C., and a member of the McCammon Group, a mediation, arbitration, facilitation, training and consulting group providing conflict resolution services throughout the mid-Atlantic region. Mr. Menaker’s professional activities include previously serving as past chair and fellow of the ABA Public Contract Law Section, and is currently a board member of the Atlantic Legal Foundation. Mr. Menaker graduated from Wilkes University and the Washington College of Law at American University.</w:t>
      </w:r>
    </w:p>
    <w:p>
      <w:pPr>
        <w:spacing w:after="0" w:line="183" w:lineRule="exact"/>
        <w:rPr>
          <w:sz w:val="20"/>
          <w:szCs w:val="20"/>
          <w:color w:val="auto"/>
        </w:rPr>
      </w:pPr>
    </w:p>
    <w:p>
      <w:pPr>
        <w:ind w:left="1540"/>
        <w:spacing w:after="0"/>
        <w:rPr>
          <w:sz w:val="20"/>
          <w:szCs w:val="20"/>
          <w:color w:val="auto"/>
        </w:rPr>
      </w:pPr>
      <w:r>
        <w:rPr>
          <w:rFonts w:ascii="Arial" w:cs="Arial" w:eastAsia="Arial" w:hAnsi="Arial"/>
          <w:sz w:val="18"/>
          <w:szCs w:val="18"/>
          <w:b w:val="1"/>
          <w:bCs w:val="1"/>
          <w:i w:val="1"/>
          <w:iCs w:val="1"/>
          <w:color w:val="auto"/>
        </w:rPr>
        <w:t>Key attributes, experience and skills:</w:t>
      </w:r>
    </w:p>
    <w:p>
      <w:pPr>
        <w:jc w:val="both"/>
        <w:ind w:left="1540"/>
        <w:spacing w:after="0" w:line="236" w:lineRule="auto"/>
        <w:rPr>
          <w:sz w:val="20"/>
          <w:szCs w:val="20"/>
          <w:color w:val="auto"/>
        </w:rPr>
      </w:pPr>
      <w:r>
        <w:rPr>
          <w:rFonts w:ascii="Arial" w:cs="Arial" w:eastAsia="Arial" w:hAnsi="Arial"/>
          <w:sz w:val="18"/>
          <w:szCs w:val="18"/>
          <w:color w:val="auto"/>
        </w:rPr>
        <w:t>Mr. Menaker brings to the Board his experience as general counsel of an S&amp;P 100 corporation, with responsibility for legal, compliance, corporate governance, among other matters, as well as his experience in management, leadership, executive compensation, financial affairs, governmental and regulatory issues, safety, health and environmental matters, and mergers and acquisitions. As one of the original members of Martin Marietta’s Board, Mr. Menaker also brings an important perspective on Martin Marietta’s business, strategy, and culture. In addition, Mr. Menaker is a recognized leader in corporate ethics programs.</w:t>
      </w:r>
    </w:p>
    <w:p>
      <w:pPr>
        <w:spacing w:after="0" w:line="202"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 xml:space="preserve">Richard A. Vinroot </w:t>
      </w:r>
      <w:r>
        <w:rPr>
          <w:rFonts w:ascii="Arial" w:cs="Arial" w:eastAsia="Arial" w:hAnsi="Arial"/>
          <w:sz w:val="18"/>
          <w:szCs w:val="18"/>
          <w:color w:val="auto"/>
        </w:rPr>
        <w:t>(74). Director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-76200</wp:posOffset>
            </wp:positionV>
            <wp:extent cx="1235075" cy="18522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35075" cy="1852295"/>
                    </a:xfrm>
                    <a:prstGeom prst="rect">
                      <a:avLst/>
                    </a:prstGeom>
                    <a:noFill/>
                  </pic:spPr>
                </pic:pic>
              </a:graphicData>
            </a:graphic>
          </wp:anchor>
        </w:drawing>
      </w:r>
    </w:p>
    <w:p>
      <w:pPr>
        <w:jc w:val="both"/>
        <w:ind w:left="1540" w:right="20"/>
        <w:spacing w:after="0" w:line="239" w:lineRule="auto"/>
        <w:rPr>
          <w:sz w:val="20"/>
          <w:szCs w:val="20"/>
          <w:color w:val="auto"/>
        </w:rPr>
      </w:pPr>
      <w:r>
        <w:rPr>
          <w:rFonts w:ascii="Arial" w:cs="Arial" w:eastAsia="Arial" w:hAnsi="Arial"/>
          <w:sz w:val="18"/>
          <w:szCs w:val="18"/>
          <w:i w:val="1"/>
          <w:iCs w:val="1"/>
          <w:color w:val="auto"/>
        </w:rPr>
        <w:t>Chair of the Ethics, Environment, Safety and Health Committee and member of the Nominating and Corporate Governance Committee.</w:t>
      </w:r>
    </w:p>
    <w:p>
      <w:pPr>
        <w:spacing w:after="0" w:line="195" w:lineRule="exact"/>
        <w:rPr>
          <w:sz w:val="20"/>
          <w:szCs w:val="20"/>
          <w:color w:val="auto"/>
        </w:rPr>
      </w:pPr>
    </w:p>
    <w:p>
      <w:pPr>
        <w:jc w:val="both"/>
        <w:ind w:left="1540"/>
        <w:spacing w:after="0" w:line="264" w:lineRule="auto"/>
        <w:rPr>
          <w:sz w:val="20"/>
          <w:szCs w:val="20"/>
          <w:color w:val="auto"/>
        </w:rPr>
      </w:pPr>
      <w:r>
        <w:rPr>
          <w:rFonts w:ascii="Arial" w:cs="Arial" w:eastAsia="Arial" w:hAnsi="Arial"/>
          <w:sz w:val="16"/>
          <w:szCs w:val="16"/>
          <w:color w:val="auto"/>
        </w:rPr>
        <w:t>Mr. Vinroot has been a member of the law firm of Robinson, Bradshaw &amp; Hinson, P.A. in Charlotte, North Carolina since 1969, where he practices in the areas of civil litigation, including construction, labor, employment discrimination, securities and commercial contract disputes and controversies. He has appeared and served as lead trial counsel in the successful prosecution, defense and resolution of numerous actions in the federal and state courts. Mr. Vinroot has also been active in civic and community activities. Mr. Vinroot served as Mayor of Charlotte, North Carolina and on the Charlotte City Council. Mr. Vinroot received his B.S. and J.D. degrees from the University of Carolina at Chapel Hill, where he was a John Motley Morehead Scholar.</w:t>
      </w:r>
    </w:p>
    <w:p>
      <w:pPr>
        <w:ind w:left="1540"/>
        <w:spacing w:after="0" w:line="236" w:lineRule="auto"/>
        <w:rPr>
          <w:sz w:val="20"/>
          <w:szCs w:val="20"/>
          <w:color w:val="auto"/>
        </w:rPr>
      </w:pPr>
      <w:r>
        <w:rPr>
          <w:rFonts w:ascii="Arial" w:cs="Arial" w:eastAsia="Arial" w:hAnsi="Arial"/>
          <w:sz w:val="18"/>
          <w:szCs w:val="18"/>
          <w:b w:val="1"/>
          <w:bCs w:val="1"/>
          <w:i w:val="1"/>
          <w:iCs w:val="1"/>
          <w:color w:val="auto"/>
        </w:rPr>
        <w:t>Key attributes, experience and skills:</w:t>
      </w:r>
    </w:p>
    <w:p>
      <w:pPr>
        <w:jc w:val="both"/>
        <w:ind w:left="1540"/>
        <w:spacing w:after="0" w:line="236" w:lineRule="auto"/>
        <w:rPr>
          <w:sz w:val="20"/>
          <w:szCs w:val="20"/>
          <w:color w:val="auto"/>
        </w:rPr>
      </w:pPr>
      <w:r>
        <w:rPr>
          <w:rFonts w:ascii="Arial" w:cs="Arial" w:eastAsia="Arial" w:hAnsi="Arial"/>
          <w:sz w:val="18"/>
          <w:szCs w:val="18"/>
          <w:color w:val="auto"/>
        </w:rPr>
        <w:t>Mr. Vinroot brings tremendous experience to the Board from both the private practice of law and his elected position as Mayor of Charlotte, North Carolina relating to leadership, corporate governance, legal, mergers and acquisitions, governmental and regulatory issues, safety, health and environmental matters. His familiarity with North Carolina, which is one of Martin Marietta’s most important states, has been very valuable to the Board, as well as his involvement with non-profit organizations to give the Board perspective on diversity and corporate 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131445</wp:posOffset>
            </wp:positionV>
            <wp:extent cx="7246620"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9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xml:space="preserve">THE BOARD UNANIMOUSLY RECOMMENDS A VOTE </w:t>
      </w:r>
      <w:r>
        <w:rPr>
          <w:rFonts w:ascii="Arial" w:cs="Arial" w:eastAsia="Arial" w:hAnsi="Arial"/>
          <w:sz w:val="18"/>
          <w:szCs w:val="18"/>
          <w:b w:val="1"/>
          <w:bCs w:val="1"/>
          <w:i w:val="1"/>
          <w:iCs w:val="1"/>
          <w:u w:val="single" w:color="auto"/>
          <w:color w:val="auto"/>
        </w:rPr>
        <w:t>“FOR”</w:t>
      </w:r>
    </w:p>
    <w:p>
      <w:pPr>
        <w:spacing w:after="0" w:line="1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ALL NOMINEES FOR ELECTION TO THE BOARD OF DIRECTORS</w:t>
      </w:r>
    </w:p>
    <w:p>
      <w:pPr>
        <w:spacing w:after="0" w:line="18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20"/>
          </w:cols>
          <w:pgMar w:left="1440" w:top="26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Whose Terms Continue Until 2016:</w:t>
      </w:r>
    </w:p>
    <w:p>
      <w:pPr>
        <w:spacing w:after="0" w:line="19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 xml:space="preserve">C. Howard Nye </w:t>
      </w:r>
      <w:r>
        <w:rPr>
          <w:rFonts w:ascii="Arial" w:cs="Arial" w:eastAsia="Arial" w:hAnsi="Arial"/>
          <w:sz w:val="18"/>
          <w:szCs w:val="18"/>
          <w:i w:val="1"/>
          <w:iCs w:val="1"/>
          <w:color w:val="auto"/>
        </w:rPr>
        <w:t>(52). Director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235075" cy="18522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35075" cy="1852295"/>
                    </a:xfrm>
                    <a:prstGeom prst="rect">
                      <a:avLst/>
                    </a:prstGeom>
                    <a:noFill/>
                  </pic:spPr>
                </pic:pic>
              </a:graphicData>
            </a:graphic>
          </wp:anchor>
        </w:drawing>
      </w:r>
    </w:p>
    <w:p>
      <w:pPr>
        <w:ind w:left="2740"/>
        <w:spacing w:after="0"/>
        <w:rPr>
          <w:sz w:val="20"/>
          <w:szCs w:val="20"/>
          <w:color w:val="auto"/>
        </w:rPr>
      </w:pPr>
      <w:r>
        <w:rPr>
          <w:rFonts w:ascii="Arial" w:cs="Arial" w:eastAsia="Arial" w:hAnsi="Arial"/>
          <w:sz w:val="18"/>
          <w:szCs w:val="18"/>
          <w:i w:val="1"/>
          <w:iCs w:val="1"/>
          <w:color w:val="auto"/>
        </w:rPr>
        <w:t>Chairman of the Board (since 2014) and Chair of the Executive Committee (since 2014).</w:t>
      </w:r>
    </w:p>
    <w:p>
      <w:pPr>
        <w:spacing w:after="0" w:line="198" w:lineRule="exact"/>
        <w:rPr>
          <w:sz w:val="20"/>
          <w:szCs w:val="20"/>
          <w:color w:val="auto"/>
        </w:rPr>
      </w:pPr>
    </w:p>
    <w:p>
      <w:pPr>
        <w:jc w:val="both"/>
        <w:ind w:left="2740"/>
        <w:spacing w:after="0" w:line="234" w:lineRule="auto"/>
        <w:rPr>
          <w:sz w:val="20"/>
          <w:szCs w:val="20"/>
          <w:color w:val="auto"/>
        </w:rPr>
      </w:pPr>
      <w:r>
        <w:rPr>
          <w:rFonts w:ascii="Arial" w:cs="Arial" w:eastAsia="Arial" w:hAnsi="Arial"/>
          <w:sz w:val="18"/>
          <w:szCs w:val="18"/>
          <w:color w:val="auto"/>
        </w:rPr>
        <w:t>Mr. Nye has served as Chairman of the Board since 2014 and as President and Chief Executive Officer of Martin Marietta since January 1, 2010. He previously served as President and Chief Operating Officer of Martin Marietta from August 2006 to 2009. From 2003 to 2006, Mr. Nye served as Executive Vice President of Hanson Aggregates North America, a producer of aggregates for the construction industry, and in other managerial roles since 1993. Mr. Nye has also been active in a number of various business, civic, and education organizations, including serving as a member and past Chairman of the Board of Directors for the National Stone, Sand &amp; Gravel Association, Vice Chairman of the American Road &amp; Transportation Builders Association, and the Greater Raleigh Chamber of Commerce. Mr. Nye has also been a gubernatorial appointee to the North Carolina Mining Commission. Mr. Nye received a Bachelor’s degree from Duke University and a J.D. from Wake Forest University.</w:t>
      </w:r>
    </w:p>
    <w:p>
      <w:pPr>
        <w:spacing w:after="0" w:line="3" w:lineRule="exact"/>
        <w:rPr>
          <w:sz w:val="20"/>
          <w:szCs w:val="20"/>
          <w:color w:val="auto"/>
        </w:rPr>
      </w:pPr>
    </w:p>
    <w:p>
      <w:pPr>
        <w:ind w:left="2740"/>
        <w:spacing w:after="0"/>
        <w:rPr>
          <w:sz w:val="20"/>
          <w:szCs w:val="20"/>
          <w:color w:val="auto"/>
        </w:rPr>
      </w:pPr>
      <w:r>
        <w:rPr>
          <w:rFonts w:ascii="Arial" w:cs="Arial" w:eastAsia="Arial" w:hAnsi="Arial"/>
          <w:sz w:val="18"/>
          <w:szCs w:val="18"/>
          <w:b w:val="1"/>
          <w:bCs w:val="1"/>
          <w:i w:val="1"/>
          <w:iCs w:val="1"/>
          <w:color w:val="auto"/>
        </w:rPr>
        <w:t>Key attributes, experience and skills:</w:t>
      </w:r>
    </w:p>
    <w:p>
      <w:pPr>
        <w:jc w:val="both"/>
        <w:ind w:left="2740"/>
        <w:spacing w:after="0" w:line="273" w:lineRule="auto"/>
        <w:rPr>
          <w:sz w:val="20"/>
          <w:szCs w:val="20"/>
          <w:color w:val="auto"/>
        </w:rPr>
      </w:pPr>
      <w:r>
        <w:rPr>
          <w:rFonts w:ascii="Arial" w:cs="Arial" w:eastAsia="Arial" w:hAnsi="Arial"/>
          <w:sz w:val="16"/>
          <w:szCs w:val="16"/>
          <w:color w:val="auto"/>
        </w:rPr>
        <w:t>Mr. Nye has extensive knowledge of the construction aggregates industry from his 30 years of experience in all facets of the construction materials business. He brings to the Board extensive leadership, business, operating, mergers and acquisitions, legal, customer-relations, and safety and environmental experience. He understands the competitive nature of the business and has strong management skills and broad executive experience. In addition, Mr. Nye brings to the Board his broad strategic vision for the future growth of Martin Marietta.</w:t>
      </w:r>
    </w:p>
    <w:p>
      <w:pPr>
        <w:spacing w:after="0" w:line="17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 xml:space="preserve">Laree E. Perez </w:t>
      </w:r>
      <w:r>
        <w:rPr>
          <w:rFonts w:ascii="Arial" w:cs="Arial" w:eastAsia="Arial" w:hAnsi="Arial"/>
          <w:sz w:val="18"/>
          <w:szCs w:val="18"/>
          <w:color w:val="auto"/>
        </w:rPr>
        <w:t>(61). Director (since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235075" cy="18522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35075" cy="1852295"/>
                    </a:xfrm>
                    <a:prstGeom prst="rect">
                      <a:avLst/>
                    </a:prstGeom>
                    <a:noFill/>
                  </pic:spPr>
                </pic:pic>
              </a:graphicData>
            </a:graphic>
          </wp:anchor>
        </w:drawing>
      </w:r>
    </w:p>
    <w:p>
      <w:pPr>
        <w:jc w:val="both"/>
        <w:ind w:left="2740"/>
        <w:spacing w:after="0" w:line="239" w:lineRule="auto"/>
        <w:rPr>
          <w:sz w:val="20"/>
          <w:szCs w:val="20"/>
          <w:color w:val="auto"/>
        </w:rPr>
      </w:pPr>
      <w:r>
        <w:rPr>
          <w:rFonts w:ascii="Arial" w:cs="Arial" w:eastAsia="Arial" w:hAnsi="Arial"/>
          <w:sz w:val="18"/>
          <w:szCs w:val="18"/>
          <w:i w:val="1"/>
          <w:iCs w:val="1"/>
          <w:color w:val="auto"/>
        </w:rPr>
        <w:t>Chair of the Finance Committee and member of the Audit Committee and the Ethics, Environment, Safety and Health Committee.</w:t>
      </w:r>
    </w:p>
    <w:p>
      <w:pPr>
        <w:spacing w:after="0" w:line="195" w:lineRule="exact"/>
        <w:rPr>
          <w:sz w:val="20"/>
          <w:szCs w:val="20"/>
          <w:color w:val="auto"/>
        </w:rPr>
      </w:pPr>
    </w:p>
    <w:p>
      <w:pPr>
        <w:jc w:val="both"/>
        <w:ind w:left="2740"/>
        <w:spacing w:after="0" w:line="234" w:lineRule="auto"/>
        <w:rPr>
          <w:sz w:val="20"/>
          <w:szCs w:val="20"/>
          <w:color w:val="auto"/>
        </w:rPr>
      </w:pPr>
      <w:r>
        <w:rPr>
          <w:rFonts w:ascii="Arial" w:cs="Arial" w:eastAsia="Arial" w:hAnsi="Arial"/>
          <w:sz w:val="18"/>
          <w:szCs w:val="18"/>
          <w:color w:val="auto"/>
        </w:rPr>
        <w:t>Ms. Perez has served as Owner and Managing Partner of The Medallion Company, LLC, a consulting firm, since 2003. Through her relationship with DeRoy &amp; Devereaux, an independent investment adviser, Ms. Perez provides client consulting services. Ms. Perez was previously a Director of GenOn Energy, Inc., one of the largest power producers in the United States, from 2002 to 2012, and served as the Chairman of the Audit Committee of GenOn Energy, Inc. from 2002 to 2007 and a member of its Audit and Risk and Finance Oversight Committees from 2008 to 2012. Previously, she was Vice President of Loomis, Sayles &amp; Company, L.P. and co-founder, President and Chief Executive Officer of Medallion Investment Company, Inc. In addition to civic and charitable organizations, Ms. Perez recently served as Vice Chairman of the Board of Regents at Baylor University and previously served on the Board of Trustees of New Mexico State University, where she was also Chairman of the Board. Ms. Perez earned a Bachelor’s degree from Baylor University in Finance and Economics.</w:t>
      </w:r>
    </w:p>
    <w:p>
      <w:pPr>
        <w:spacing w:after="0" w:line="4" w:lineRule="exact"/>
        <w:rPr>
          <w:sz w:val="20"/>
          <w:szCs w:val="20"/>
          <w:color w:val="auto"/>
        </w:rPr>
      </w:pPr>
    </w:p>
    <w:p>
      <w:pPr>
        <w:ind w:left="2740"/>
        <w:spacing w:after="0"/>
        <w:rPr>
          <w:sz w:val="20"/>
          <w:szCs w:val="20"/>
          <w:color w:val="auto"/>
        </w:rPr>
      </w:pPr>
      <w:r>
        <w:rPr>
          <w:rFonts w:ascii="Arial" w:cs="Arial" w:eastAsia="Arial" w:hAnsi="Arial"/>
          <w:sz w:val="18"/>
          <w:szCs w:val="18"/>
          <w:b w:val="1"/>
          <w:bCs w:val="1"/>
          <w:i w:val="1"/>
          <w:iCs w:val="1"/>
          <w:color w:val="auto"/>
        </w:rPr>
        <w:t>Key attributes, experience and skills:</w:t>
      </w:r>
    </w:p>
    <w:p>
      <w:pPr>
        <w:jc w:val="both"/>
        <w:ind w:left="2740"/>
        <w:spacing w:after="0" w:line="271" w:lineRule="auto"/>
        <w:rPr>
          <w:sz w:val="20"/>
          <w:szCs w:val="20"/>
          <w:color w:val="auto"/>
        </w:rPr>
      </w:pPr>
      <w:r>
        <w:rPr>
          <w:rFonts w:ascii="Arial" w:cs="Arial" w:eastAsia="Arial" w:hAnsi="Arial"/>
          <w:sz w:val="16"/>
          <w:szCs w:val="16"/>
          <w:color w:val="auto"/>
        </w:rPr>
        <w:t>Ms. Perez brings to the Board significant business, financial and private investment experience. She has significant expertise with respect to financial statements, corporate finance, accounting and capital markets, mergers and acquisitions, and strategic analysis. Ms. Perez also brings insight into auditing best practices from her experience serving as a Board member on the audit and finance committees of other publicly-traded companies. Her familiarity with the southwestern United States has been very valuable to the Board since Martin Marietta has important operations in that region and she gives the Board perspective on diversity.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1" w:right="239" w:bottom="1440" w:gutter="0" w:footer="0" w:header="0"/>
        </w:sectPr>
      </w:pPr>
    </w:p>
    <w:bookmarkStart w:id="13" w:name="page14"/>
    <w:bookmarkEnd w:id="13"/>
    <w:p>
      <w:pPr>
        <w:ind w:left="2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Dennis L. Rediker </w:t>
      </w:r>
      <w:r>
        <w:rPr>
          <w:rFonts w:ascii="Arial" w:cs="Arial" w:eastAsia="Arial" w:hAnsi="Arial"/>
          <w:sz w:val="18"/>
          <w:szCs w:val="18"/>
          <w:color w:val="auto"/>
        </w:rPr>
        <w:t>(71). Director (since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235075" cy="18522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35075" cy="1852295"/>
                    </a:xfrm>
                    <a:prstGeom prst="rect">
                      <a:avLst/>
                    </a:prstGeom>
                    <a:noFill/>
                  </pic:spPr>
                </pic:pic>
              </a:graphicData>
            </a:graphic>
          </wp:anchor>
        </w:drawing>
      </w:r>
    </w:p>
    <w:p>
      <w:pPr>
        <w:jc w:val="both"/>
        <w:ind w:left="2740"/>
        <w:spacing w:after="0" w:line="239" w:lineRule="auto"/>
        <w:rPr>
          <w:sz w:val="20"/>
          <w:szCs w:val="20"/>
          <w:color w:val="auto"/>
        </w:rPr>
      </w:pPr>
      <w:r>
        <w:rPr>
          <w:rFonts w:ascii="Arial" w:cs="Arial" w:eastAsia="Arial" w:hAnsi="Arial"/>
          <w:sz w:val="18"/>
          <w:szCs w:val="18"/>
          <w:i w:val="1"/>
          <w:iCs w:val="1"/>
          <w:color w:val="auto"/>
        </w:rPr>
        <w:t>Member of the Audit Committee, the Finance Committee and the Ethics, Environment, Safety and Health Committee.</w:t>
      </w:r>
    </w:p>
    <w:p>
      <w:pPr>
        <w:spacing w:after="0" w:line="195" w:lineRule="exact"/>
        <w:rPr>
          <w:sz w:val="20"/>
          <w:szCs w:val="20"/>
          <w:color w:val="auto"/>
        </w:rPr>
      </w:pPr>
    </w:p>
    <w:p>
      <w:pPr>
        <w:jc w:val="both"/>
        <w:ind w:left="2740"/>
        <w:spacing w:after="0" w:line="234" w:lineRule="auto"/>
        <w:rPr>
          <w:sz w:val="20"/>
          <w:szCs w:val="20"/>
          <w:color w:val="auto"/>
        </w:rPr>
      </w:pPr>
      <w:r>
        <w:rPr>
          <w:rFonts w:ascii="Arial" w:cs="Arial" w:eastAsia="Arial" w:hAnsi="Arial"/>
          <w:sz w:val="18"/>
          <w:szCs w:val="18"/>
          <w:color w:val="auto"/>
        </w:rPr>
        <w:t>Mr. Rediker serves as the President and Chief Operating Officer of Utility Composite Solutions International (UCSI), a developer and maker of composite materials for utility and municipal lighting applications. From 2009 to 2011, Mr. Rediker served as the President and Chief Operating Officer of B4C, LLC, a developer and maker of ceramic materials for defense and aerospace applications. He previously served as President and Chief Executive Officer and Director of The Standard Register Company, and as the Chief Executive Officer and a Director of English China Clays, plc. Mr. Rediker received a Bachelor’s degree from the University of California at Santa Barbara in electrical engineering.</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18"/>
          <w:szCs w:val="18"/>
          <w:b w:val="1"/>
          <w:bCs w:val="1"/>
          <w:i w:val="1"/>
          <w:iCs w:val="1"/>
          <w:color w:val="auto"/>
        </w:rPr>
        <w:t>Key attributes, experience and skills:</w:t>
      </w:r>
    </w:p>
    <w:p>
      <w:pPr>
        <w:jc w:val="both"/>
        <w:ind w:left="2740"/>
        <w:spacing w:after="0" w:line="236" w:lineRule="auto"/>
        <w:rPr>
          <w:sz w:val="20"/>
          <w:szCs w:val="20"/>
          <w:color w:val="auto"/>
        </w:rPr>
      </w:pPr>
      <w:r>
        <w:rPr>
          <w:rFonts w:ascii="Arial" w:cs="Arial" w:eastAsia="Arial" w:hAnsi="Arial"/>
          <w:sz w:val="18"/>
          <w:szCs w:val="18"/>
          <w:color w:val="auto"/>
        </w:rPr>
        <w:t>Mr. Rediker brings to the Board significant operating, financial, leadership, strategic, audit, and marketing experience as a result of his tenure as chief executive officer of publicly-traded companies and service on their boards. He also has extensive experience in mergers and acquisitions, environmental and safety, and customer service that has been valuable to the Board. In addition, Mr. Rediker has considerable expertise in corporate strategy from his various roles, including his tenure with McKinsey &amp; Co.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Whose Terms Continue Until 2017:</w:t>
      </w:r>
    </w:p>
    <w:p>
      <w:pPr>
        <w:spacing w:after="0" w:line="19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 xml:space="preserve">Sue W. Cole </w:t>
      </w:r>
      <w:r>
        <w:rPr>
          <w:rFonts w:ascii="Arial" w:cs="Arial" w:eastAsia="Arial" w:hAnsi="Arial"/>
          <w:sz w:val="18"/>
          <w:szCs w:val="18"/>
          <w:color w:val="auto"/>
        </w:rPr>
        <w:t>(64). Director (since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235075" cy="18522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35075" cy="1852295"/>
                    </a:xfrm>
                    <a:prstGeom prst="rect">
                      <a:avLst/>
                    </a:prstGeom>
                    <a:noFill/>
                  </pic:spPr>
                </pic:pic>
              </a:graphicData>
            </a:graphic>
          </wp:anchor>
        </w:drawing>
      </w:r>
    </w:p>
    <w:p>
      <w:pPr>
        <w:jc w:val="both"/>
        <w:ind w:left="2740"/>
        <w:spacing w:after="0" w:line="239" w:lineRule="auto"/>
        <w:rPr>
          <w:sz w:val="20"/>
          <w:szCs w:val="20"/>
          <w:color w:val="auto"/>
        </w:rPr>
      </w:pPr>
      <w:r>
        <w:rPr>
          <w:rFonts w:ascii="Arial" w:cs="Arial" w:eastAsia="Arial" w:hAnsi="Arial"/>
          <w:sz w:val="18"/>
          <w:szCs w:val="18"/>
          <w:i w:val="1"/>
          <w:iCs w:val="1"/>
          <w:color w:val="auto"/>
        </w:rPr>
        <w:t>Chair of the Management Development and Compensation Committee and member of the Nominating and Corporate Governance Committee.</w:t>
      </w:r>
    </w:p>
    <w:p>
      <w:pPr>
        <w:spacing w:after="0" w:line="195" w:lineRule="exact"/>
        <w:rPr>
          <w:sz w:val="20"/>
          <w:szCs w:val="20"/>
          <w:color w:val="auto"/>
        </w:rPr>
      </w:pPr>
    </w:p>
    <w:p>
      <w:pPr>
        <w:jc w:val="both"/>
        <w:ind w:left="2740"/>
        <w:spacing w:after="0" w:line="234" w:lineRule="auto"/>
        <w:rPr>
          <w:sz w:val="20"/>
          <w:szCs w:val="20"/>
          <w:color w:val="auto"/>
        </w:rPr>
      </w:pPr>
      <w:r>
        <w:rPr>
          <w:rFonts w:ascii="Arial" w:cs="Arial" w:eastAsia="Arial" w:hAnsi="Arial"/>
          <w:sz w:val="18"/>
          <w:szCs w:val="18"/>
          <w:color w:val="auto"/>
        </w:rPr>
        <w:t>Ms. Cole is the managing partner of SAGE Leadership &amp; Strategy, LLC, an advisory firm for businesses and organizations and individuals relating to strategy, governance and leadership development. Ms. Cole was previously a principal of Granville Capital Inc., a registered investment advisor, from 2006 to 2011, and before that she was the Regional CEO, Mid-Atlantic Region, of U.S. Trust Company, N.A., where she was responsible for the overall strategic direction, growth, and leadership of its North Carolina, Philadelphia and Washington, D.C. offices. Ms. Cole previously held various positions in the U.S. Trust Company, N.A. and its predecessors. Ms. Cole has served on other public-company boards, including serving previously as the Chairman of the Board and currently as Chairman of the Compensation Committee of Biscuitville, Inc. and previously on the board of UNIFI, Inc. She has also been active in community and charitable organizations, including serving on the Investment Committee of the University of North Carolina at Greensboro and as a member on the North Carolina Economic Development Board. Ms. Cole attended the University of North Carolina at Greensboro where she earned a B.S. in Business Administration and an M.B.A. in Finance.</w:t>
      </w:r>
    </w:p>
    <w:p>
      <w:pPr>
        <w:spacing w:after="0" w:line="5" w:lineRule="exact"/>
        <w:rPr>
          <w:sz w:val="20"/>
          <w:szCs w:val="20"/>
          <w:color w:val="auto"/>
        </w:rPr>
      </w:pPr>
    </w:p>
    <w:p>
      <w:pPr>
        <w:ind w:left="2740"/>
        <w:spacing w:after="0"/>
        <w:rPr>
          <w:sz w:val="20"/>
          <w:szCs w:val="20"/>
          <w:color w:val="auto"/>
        </w:rPr>
      </w:pPr>
      <w:r>
        <w:rPr>
          <w:rFonts w:ascii="Arial" w:cs="Arial" w:eastAsia="Arial" w:hAnsi="Arial"/>
          <w:sz w:val="18"/>
          <w:szCs w:val="18"/>
          <w:b w:val="1"/>
          <w:bCs w:val="1"/>
          <w:i w:val="1"/>
          <w:iCs w:val="1"/>
          <w:color w:val="auto"/>
        </w:rPr>
        <w:t>Key attributes, experience and skills:</w:t>
      </w:r>
    </w:p>
    <w:p>
      <w:pPr>
        <w:jc w:val="both"/>
        <w:ind w:left="2740"/>
        <w:spacing w:after="0" w:line="236" w:lineRule="auto"/>
        <w:rPr>
          <w:sz w:val="20"/>
          <w:szCs w:val="20"/>
          <w:color w:val="auto"/>
        </w:rPr>
      </w:pPr>
      <w:r>
        <w:rPr>
          <w:rFonts w:ascii="Arial" w:cs="Arial" w:eastAsia="Arial" w:hAnsi="Arial"/>
          <w:sz w:val="18"/>
          <w:szCs w:val="18"/>
          <w:color w:val="auto"/>
        </w:rPr>
        <w:t>Ms. Cole brings to the Board valuable experience in executive compensation, corporate governance, human resources, finance and financial statements, and customer service in connection with her role as chief executive officer of several financial services and investment advisory businesses as well as several non-profit organizations. She also has strong leadership skills and familiarity with governmental affairs from her service on the boards of various business associations and non-profit organizations in North Carolina, an important state to Martin Marietta.</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9" w:right="239" w:bottom="1440" w:gutter="0" w:footer="0" w:header="0"/>
        </w:sectPr>
      </w:pPr>
    </w:p>
    <w:bookmarkStart w:id="14" w:name="page15"/>
    <w:bookmarkEnd w:id="14"/>
    <w:p>
      <w:pPr>
        <w:ind w:left="1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Michael J. Quillen </w:t>
      </w:r>
      <w:r>
        <w:rPr>
          <w:rFonts w:ascii="Arial" w:cs="Arial" w:eastAsia="Arial" w:hAnsi="Arial"/>
          <w:sz w:val="18"/>
          <w:szCs w:val="18"/>
          <w:color w:val="auto"/>
        </w:rPr>
        <w:t>(66). Director (since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-76200</wp:posOffset>
            </wp:positionV>
            <wp:extent cx="1235075" cy="18522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35075" cy="1852295"/>
                    </a:xfrm>
                    <a:prstGeom prst="rect">
                      <a:avLst/>
                    </a:prstGeom>
                    <a:noFill/>
                  </pic:spPr>
                </pic:pic>
              </a:graphicData>
            </a:graphic>
          </wp:anchor>
        </w:drawing>
      </w:r>
    </w:p>
    <w:p>
      <w:pPr>
        <w:jc w:val="both"/>
        <w:ind w:left="1540"/>
        <w:spacing w:after="0" w:line="239" w:lineRule="auto"/>
        <w:rPr>
          <w:sz w:val="20"/>
          <w:szCs w:val="20"/>
          <w:color w:val="auto"/>
        </w:rPr>
      </w:pPr>
      <w:r>
        <w:rPr>
          <w:rFonts w:ascii="Arial" w:cs="Arial" w:eastAsia="Arial" w:hAnsi="Arial"/>
          <w:sz w:val="18"/>
          <w:szCs w:val="18"/>
          <w:i w:val="1"/>
          <w:iCs w:val="1"/>
          <w:color w:val="auto"/>
        </w:rPr>
        <w:t>Lead Independent Director, Member of the Ethics, Environment, Safety and Health Committee, the Finance Committee and the Management Development and Compensation Committee.</w:t>
      </w:r>
    </w:p>
    <w:p>
      <w:pPr>
        <w:spacing w:after="0" w:line="195" w:lineRule="exact"/>
        <w:rPr>
          <w:sz w:val="20"/>
          <w:szCs w:val="20"/>
          <w:color w:val="auto"/>
        </w:rPr>
      </w:pPr>
    </w:p>
    <w:p>
      <w:pPr>
        <w:jc w:val="both"/>
        <w:ind w:left="1540"/>
        <w:spacing w:after="0" w:line="266" w:lineRule="auto"/>
        <w:rPr>
          <w:sz w:val="20"/>
          <w:szCs w:val="20"/>
          <w:color w:val="auto"/>
        </w:rPr>
      </w:pPr>
      <w:r>
        <w:rPr>
          <w:rFonts w:ascii="Arial" w:cs="Arial" w:eastAsia="Arial" w:hAnsi="Arial"/>
          <w:sz w:val="16"/>
          <w:szCs w:val="16"/>
          <w:color w:val="auto"/>
        </w:rPr>
        <w:t>Mr. Quillen was the founder and served as Chief Executive Officer of Alpha Natural Resources, Inc. (ANR), a leading Appalachian coal supplier, since its formation in 2004 until its merger with Foundation Coal Holdings, Inc. in July 2009, served as President and Chairman of ANR from 2006 to 2009, and non-Executive Chairman until May 2012. Mr. Quillen held senior executive positions in the coal industry throughout his career at Pittston/Pittston Coal Sales Corp., AMVEST Corporation, NERCO Coal Corporation, Addington, Inc. and Mid-Vol Leasing, Inc. He has also served as Chairman (Rector) of the Board of Visitors of Virginia Polytechnic Institute and State University from July 2012 to June 2014 and was reappointed to an additional four-year term on the Board of Governors in July 2014. He was Chairman of the Audit and Finance Committee of Virginia Polytechnic Institute and State University from July 2010 to June 2012. He also served on the Virginia Port Authority from 2003 to 2012 and as Chairman from July 2011 to December 2012. Mr. Quillen attended Virginia Polytechnic Institute and State University, earning both Bachelor’s and Master’s degrees in Civil Engineering.</w:t>
      </w:r>
    </w:p>
    <w:p>
      <w:pPr>
        <w:spacing w:after="0" w:line="185" w:lineRule="exact"/>
        <w:rPr>
          <w:sz w:val="20"/>
          <w:szCs w:val="20"/>
          <w:color w:val="auto"/>
        </w:rPr>
      </w:pPr>
    </w:p>
    <w:p>
      <w:pPr>
        <w:ind w:left="1540"/>
        <w:spacing w:after="0"/>
        <w:rPr>
          <w:sz w:val="20"/>
          <w:szCs w:val="20"/>
          <w:color w:val="auto"/>
        </w:rPr>
      </w:pPr>
      <w:r>
        <w:rPr>
          <w:rFonts w:ascii="Arial" w:cs="Arial" w:eastAsia="Arial" w:hAnsi="Arial"/>
          <w:sz w:val="18"/>
          <w:szCs w:val="18"/>
          <w:b w:val="1"/>
          <w:bCs w:val="1"/>
          <w:i w:val="1"/>
          <w:iCs w:val="1"/>
          <w:color w:val="auto"/>
        </w:rPr>
        <w:t>Key attributes, experience and skills:</w:t>
      </w:r>
    </w:p>
    <w:p>
      <w:pPr>
        <w:jc w:val="both"/>
        <w:ind w:left="1540"/>
        <w:spacing w:after="0" w:line="236" w:lineRule="auto"/>
        <w:rPr>
          <w:sz w:val="20"/>
          <w:szCs w:val="20"/>
          <w:color w:val="auto"/>
        </w:rPr>
      </w:pPr>
      <w:r>
        <w:rPr>
          <w:rFonts w:ascii="Arial" w:cs="Arial" w:eastAsia="Arial" w:hAnsi="Arial"/>
          <w:sz w:val="18"/>
          <w:szCs w:val="18"/>
          <w:color w:val="auto"/>
        </w:rPr>
        <w:t>Mr. Quillen brings to the Board valuable business, leadership, management, financial, and mergers and acquisitions experience through his service of more than 30 years in senior positions, including chief executive officer and chairman, of publicly-traded companies. He also has extensive experience related to mining companies, governmental and regulatory issues, and safety, health and environmental matters. Mr. Quillen also brings tremendous insight and expertise with respect to strategic analysis, the natural resources industry, and energy. In addition, Mr. Quillen has a wealth of knowledge related to transportation, which is a key factor in our business.</w:t>
      </w:r>
    </w:p>
    <w:p>
      <w:pPr>
        <w:spacing w:after="0" w:line="201"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 xml:space="preserve">Stephen P. Zelnak, Jr. </w:t>
      </w:r>
      <w:r>
        <w:rPr>
          <w:rFonts w:ascii="Arial" w:cs="Arial" w:eastAsia="Arial" w:hAnsi="Arial"/>
          <w:sz w:val="18"/>
          <w:szCs w:val="18"/>
          <w:color w:val="auto"/>
        </w:rPr>
        <w:t>(70). Director (since 1993).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-76200</wp:posOffset>
            </wp:positionV>
            <wp:extent cx="1235075" cy="18522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35075" cy="1852295"/>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8"/>
          <w:szCs w:val="18"/>
          <w:i w:val="1"/>
          <w:iCs w:val="1"/>
          <w:color w:val="auto"/>
        </w:rPr>
        <w:t>Member of the Ethics, Environment, Safety and Health Committee and the Finance Committee.</w:t>
      </w:r>
    </w:p>
    <w:p>
      <w:pPr>
        <w:spacing w:after="0" w:line="198" w:lineRule="exact"/>
        <w:rPr>
          <w:sz w:val="20"/>
          <w:szCs w:val="20"/>
          <w:color w:val="auto"/>
        </w:rPr>
      </w:pPr>
    </w:p>
    <w:p>
      <w:pPr>
        <w:jc w:val="both"/>
        <w:ind w:left="1540"/>
        <w:spacing w:after="0" w:line="234" w:lineRule="auto"/>
        <w:rPr>
          <w:sz w:val="20"/>
          <w:szCs w:val="20"/>
          <w:color w:val="auto"/>
        </w:rPr>
      </w:pPr>
      <w:r>
        <w:rPr>
          <w:rFonts w:ascii="Arial" w:cs="Arial" w:eastAsia="Arial" w:hAnsi="Arial"/>
          <w:sz w:val="18"/>
          <w:szCs w:val="18"/>
          <w:color w:val="auto"/>
        </w:rPr>
        <w:t>Mr. Zelnak currently serves as Chairman of the Board of Beazer Homes USA, Inc. He previously served as Chief Executive Officer of Martin Marietta from 1993 to 2009, President from 1993 to 2006, Chairman of the Board from 1997 through 2009, Executive Chairman from January 2010 to May 2010, and non-Executive Chairman from May 2010 until May 2014. Mr. Zelnak joined Martin Marietta Corporation in 1981 and was responsible for the aggregates operations since 1982. Mr. Zelnak is also Chairman and majority owner of ZP Enterprises, LLC, a private investment firm. In addition to community and charitable organizations, Mr. Zelnak has served as Chairman of the North Carolina Chamber and the National Stone, Sand and Gravel Association. He currently serves on the Advisory Boards of the College of Management at North Carolina State University and is a Trustee Emeritus of the Georgia Tech Foundation Board. Mr. Zelnak received a Bachelor’s degree from Georgia Institute of Technology and Master’s degrees in Administrative Science and Business Administration from the University of Alabama System.</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18"/>
          <w:szCs w:val="18"/>
          <w:b w:val="1"/>
          <w:bCs w:val="1"/>
          <w:i w:val="1"/>
          <w:iCs w:val="1"/>
          <w:color w:val="auto"/>
        </w:rPr>
        <w:t>Key attributes, experience and skills:</w:t>
      </w:r>
    </w:p>
    <w:p>
      <w:pPr>
        <w:jc w:val="both"/>
        <w:ind w:left="1540"/>
        <w:spacing w:after="0" w:line="236" w:lineRule="auto"/>
        <w:rPr>
          <w:sz w:val="20"/>
          <w:szCs w:val="20"/>
          <w:color w:val="auto"/>
        </w:rPr>
      </w:pPr>
      <w:r>
        <w:rPr>
          <w:rFonts w:ascii="Arial" w:cs="Arial" w:eastAsia="Arial" w:hAnsi="Arial"/>
          <w:sz w:val="18"/>
          <w:szCs w:val="18"/>
          <w:color w:val="auto"/>
        </w:rPr>
        <w:t>As the former Chairman and CEO of Martin Marietta, Mr. Zelnak brings extensive mentorship, business and operating experience to the Board, as well as knowledge of all aspects of Martin Marietta and the construction aggregates industry. He also brings his broad strategic and financial experience to the Board, knowledge of the homebuilding industry and factors that impact construction from his service on the board of a large homebuilder, as well as corporate governance from serving on the boards and various committees of another publicly-traded company.</w:t>
      </w:r>
    </w:p>
    <w:p>
      <w:pPr>
        <w:spacing w:after="0" w:line="15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20"/>
          </w:cols>
          <w:pgMar w:left="1440" w:top="269"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Martin Marietta uses a combination of cash and stock-based incentive compensation to attract and retain qualified candidates to serve on the Board of Directors. In setting director compensation, Martin Marietta considers the significant amount of time that Directors expend in fulfilling their duties to Martin Marietta as well as the skill-level required by Martin Marietta of members of the Board. The Board determines reasonable compensation for Directors upon recommendation of the Management Development and Compensation Committee of the Board, which retains independent compensation consultants to assist it.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 Paid to Board Members</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the fiscal year ended December 31, 2014, all of the individuals who were then Directors, except Mr. Nye, who was the Chief Executive Officer of Martin Marietta in 2014 and was not and is not compensated separately for his service as a Director, received an annual retainer of $32,500. Directors received $1,250 for each regular or special meeting of the Board and Board committees attended. Members of the Audit Committee received an additional $5,000 in view of their increased responsibilities. Each committee chair received an annual fee of $8,000, except the Chair of the Audit Committee, who received an additional annual fee of $15,000 in light of his increased responsibilities. Directors were also reimbursed for travel and other expenses related to attendance at Board and committee meetings. Martin Marietta’s plane was used to transport some Directors to and from Board and committee meetings, but no Directors received personal use of Martin Marietta’s plane or other perquisites and personal benefits in 2014. In his role as non-executive Chairman through May 2014, Mr. Zelnak received $125,000 in addition to the annual retainer in lieu of receiving Committee meeting attendance fees. Mr. Quillen received $25,000 in addition to the annual retainer in connection with his role as Lead Independent Director.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Paid to Board Members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All of the individuals who were Directors in 2014, except Mr. Nye, were granted 910 restricted stock units pursuant to the Amended and Restated Stock-Based Award Plan. The restricted stock units granted to the Directors in 2014 were fully vested upon award. In 2014, Directors were required to hold at least 50% of these restricted stock units until retirement from the Board of Directors. The Directors do not have voting or investment power for their respective restricted stock units.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Program for Board Members</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Common Stock Purchase Plan for Directors provides that non-employee Directors may elect to receive all or a portion of their fees earned in 2014 in the form of Martin Marietta’s common stock units. In November 2013, the Management Development and Compensation Committee of the Board of Directors reviewed with Aon Hewitt, its independent compensation consultant, the mix of cash and equity in the Company’s Directors’ compensation program, and noted that a more typical compensation package did not have as heavy a weight on equity. Based on Aon’s Hewitt’s advice, and the high equity ownership level of the Company’s stock by Directors, the Board revised the mandatory equity ownership aspects of the Directors’ compensation to reduce the mandatory deferral minimum under this plan from 50% to 20% of each Director’s fees and reduced the mandatory deferral time from retirement to a minimum of three years, with redeferrals at each Director’s election up to the date the person ceases to be a Director or the date that is one year and one month following the date that the person ceases to be a Director. Directors may elect to receive payment of the deferred amount in a single lump sum or in equal annual installments for a period up to ten years. Directors may also elect to defer their fees paid in cash on the same basis. Amounts deferred under the plan in cash are credited with interest at the prime rate. Amounts deferred under the plan in common stock are credited toward units of common stock at a 20% discount from the fair market value of the common stock (the closing price of the common stock as reported in the Wall Street Journal) on the date the Director fees would otherwise be paid. There are no matching contributions made by Martin Marietta. The units are converted into common stock of Martin Marietta pursuant to the terms of the plan. Dividend equivalents are paid on the units at the same rate as dividends are paid to all shareholders. The Directors do not have voting or investment power for their respective common stock units.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5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 Table</w:t>
      </w:r>
    </w:p>
    <w:p>
      <w:pPr>
        <w:spacing w:after="0" w:line="17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table below summarizes the compensation paid by Martin Marietta to each person who served as a non-employee Director during the fiscal year ended December 31, 2014.</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360" w:type="dxa"/>
            <w:vAlign w:val="bottom"/>
            <w:tcBorders>
              <w:left w:val="single" w:sz="8" w:color="47829E"/>
              <w:right w:val="single" w:sz="8" w:color="47829E"/>
            </w:tcBorders>
            <w:shd w:val="clear" w:color="auto" w:fill="47829E"/>
          </w:tcPr>
          <w:p>
            <w:pPr>
              <w:spacing w:after="0"/>
              <w:rPr>
                <w:sz w:val="14"/>
                <w:szCs w:val="14"/>
                <w:color w:val="auto"/>
              </w:rPr>
            </w:pPr>
          </w:p>
        </w:tc>
        <w:tc>
          <w:tcPr>
            <w:tcW w:w="1100" w:type="dxa"/>
            <w:vAlign w:val="bottom"/>
            <w:tcBorders>
              <w:right w:val="single" w:sz="8" w:color="47829E"/>
            </w:tcBorders>
            <w:shd w:val="clear" w:color="auto" w:fill="47829E"/>
          </w:tcPr>
          <w:p>
            <w:pPr>
              <w:spacing w:after="0"/>
              <w:rPr>
                <w:sz w:val="14"/>
                <w:szCs w:val="14"/>
                <w:color w:val="auto"/>
              </w:rPr>
            </w:pPr>
          </w:p>
        </w:tc>
        <w:tc>
          <w:tcPr>
            <w:tcW w:w="940" w:type="dxa"/>
            <w:vAlign w:val="bottom"/>
            <w:tcBorders>
              <w:right w:val="single" w:sz="8" w:color="47829E"/>
            </w:tcBorders>
            <w:shd w:val="clear" w:color="auto" w:fill="47829E"/>
          </w:tcPr>
          <w:p>
            <w:pPr>
              <w:spacing w:after="0"/>
              <w:rPr>
                <w:sz w:val="14"/>
                <w:szCs w:val="14"/>
                <w:color w:val="auto"/>
              </w:rPr>
            </w:pPr>
          </w:p>
        </w:tc>
        <w:tc>
          <w:tcPr>
            <w:tcW w:w="860" w:type="dxa"/>
            <w:vAlign w:val="bottom"/>
            <w:tcBorders>
              <w:right w:val="single" w:sz="8" w:color="47829E"/>
            </w:tcBorders>
            <w:shd w:val="clear" w:color="auto" w:fill="47829E"/>
          </w:tcPr>
          <w:p>
            <w:pPr>
              <w:spacing w:after="0"/>
              <w:rPr>
                <w:sz w:val="14"/>
                <w:szCs w:val="14"/>
                <w:color w:val="auto"/>
              </w:rPr>
            </w:pPr>
          </w:p>
        </w:tc>
        <w:tc>
          <w:tcPr>
            <w:tcW w:w="1340" w:type="dxa"/>
            <w:vAlign w:val="bottom"/>
            <w:tcBorders>
              <w:right w:val="single" w:sz="8" w:color="47829E"/>
            </w:tcBorders>
            <w:shd w:val="clear" w:color="auto" w:fill="47829E"/>
          </w:tcPr>
          <w:p>
            <w:pPr>
              <w:spacing w:after="0"/>
              <w:rPr>
                <w:sz w:val="14"/>
                <w:szCs w:val="14"/>
                <w:color w:val="auto"/>
              </w:rPr>
            </w:pPr>
          </w:p>
        </w:tc>
        <w:tc>
          <w:tcPr>
            <w:tcW w:w="14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96"/>
              </w:rPr>
              <w:t>Change in Pension</w:t>
            </w:r>
          </w:p>
        </w:tc>
        <w:tc>
          <w:tcPr>
            <w:tcW w:w="1400" w:type="dxa"/>
            <w:vAlign w:val="bottom"/>
            <w:tcBorders>
              <w:right w:val="single" w:sz="8" w:color="47829E"/>
            </w:tcBorders>
            <w:shd w:val="clear" w:color="auto" w:fill="47829E"/>
          </w:tcPr>
          <w:p>
            <w:pPr>
              <w:spacing w:after="0"/>
              <w:rPr>
                <w:sz w:val="14"/>
                <w:szCs w:val="14"/>
                <w:color w:val="auto"/>
              </w:rPr>
            </w:pPr>
          </w:p>
        </w:tc>
        <w:tc>
          <w:tcPr>
            <w:tcW w:w="1040" w:type="dxa"/>
            <w:vAlign w:val="bottom"/>
            <w:tcBorders>
              <w:right w:val="single" w:sz="8" w:color="47829E"/>
            </w:tcBorders>
            <w:shd w:val="clear" w:color="auto" w:fill="47829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tcBorders>
              <w:left w:val="single" w:sz="8" w:color="47829E"/>
              <w:right w:val="single" w:sz="8" w:color="47829E"/>
            </w:tcBorders>
            <w:shd w:val="clear" w:color="auto" w:fill="47829E"/>
          </w:tcPr>
          <w:p>
            <w:pPr>
              <w:spacing w:after="0"/>
              <w:rPr>
                <w:sz w:val="12"/>
                <w:szCs w:val="12"/>
                <w:color w:val="auto"/>
              </w:rPr>
            </w:pPr>
          </w:p>
        </w:tc>
        <w:tc>
          <w:tcPr>
            <w:tcW w:w="1100" w:type="dxa"/>
            <w:vAlign w:val="bottom"/>
            <w:tcBorders>
              <w:right w:val="single" w:sz="8" w:color="47829E"/>
            </w:tcBorders>
            <w:shd w:val="clear" w:color="auto" w:fill="47829E"/>
          </w:tcPr>
          <w:p>
            <w:pPr>
              <w:spacing w:after="0"/>
              <w:rPr>
                <w:sz w:val="12"/>
                <w:szCs w:val="12"/>
                <w:color w:val="auto"/>
              </w:rPr>
            </w:pPr>
          </w:p>
        </w:tc>
        <w:tc>
          <w:tcPr>
            <w:tcW w:w="940" w:type="dxa"/>
            <w:vAlign w:val="bottom"/>
            <w:tcBorders>
              <w:right w:val="single" w:sz="8" w:color="47829E"/>
            </w:tcBorders>
            <w:shd w:val="clear" w:color="auto" w:fill="47829E"/>
          </w:tcPr>
          <w:p>
            <w:pPr>
              <w:spacing w:after="0"/>
              <w:rPr>
                <w:sz w:val="12"/>
                <w:szCs w:val="12"/>
                <w:color w:val="auto"/>
              </w:rPr>
            </w:pPr>
          </w:p>
        </w:tc>
        <w:tc>
          <w:tcPr>
            <w:tcW w:w="860" w:type="dxa"/>
            <w:vAlign w:val="bottom"/>
            <w:tcBorders>
              <w:right w:val="single" w:sz="8" w:color="47829E"/>
            </w:tcBorders>
            <w:shd w:val="clear" w:color="auto" w:fill="47829E"/>
          </w:tcPr>
          <w:p>
            <w:pPr>
              <w:spacing w:after="0"/>
              <w:rPr>
                <w:sz w:val="12"/>
                <w:szCs w:val="12"/>
                <w:color w:val="auto"/>
              </w:rPr>
            </w:pPr>
          </w:p>
        </w:tc>
        <w:tc>
          <w:tcPr>
            <w:tcW w:w="1340" w:type="dxa"/>
            <w:vAlign w:val="bottom"/>
            <w:tcBorders>
              <w:right w:val="single" w:sz="8" w:color="47829E"/>
            </w:tcBorders>
            <w:shd w:val="clear" w:color="auto" w:fill="47829E"/>
          </w:tcPr>
          <w:p>
            <w:pPr>
              <w:spacing w:after="0"/>
              <w:rPr>
                <w:sz w:val="12"/>
                <w:szCs w:val="12"/>
                <w:color w:val="auto"/>
              </w:rPr>
            </w:pPr>
          </w:p>
        </w:tc>
        <w:tc>
          <w:tcPr>
            <w:tcW w:w="140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3"/>
              </w:rPr>
              <w:t>Value and</w:t>
            </w:r>
          </w:p>
        </w:tc>
        <w:tc>
          <w:tcPr>
            <w:tcW w:w="1400" w:type="dxa"/>
            <w:vAlign w:val="bottom"/>
            <w:tcBorders>
              <w:right w:val="single" w:sz="8" w:color="47829E"/>
            </w:tcBorders>
            <w:shd w:val="clear" w:color="auto" w:fill="47829E"/>
          </w:tcPr>
          <w:p>
            <w:pPr>
              <w:spacing w:after="0"/>
              <w:rPr>
                <w:sz w:val="12"/>
                <w:szCs w:val="12"/>
                <w:color w:val="auto"/>
              </w:rPr>
            </w:pPr>
          </w:p>
        </w:tc>
        <w:tc>
          <w:tcPr>
            <w:tcW w:w="1040" w:type="dxa"/>
            <w:vAlign w:val="bottom"/>
            <w:tcBorders>
              <w:right w:val="single" w:sz="8" w:color="47829E"/>
            </w:tcBorders>
            <w:shd w:val="clear" w:color="auto" w:fill="47829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Borders>
              <w:left w:val="single" w:sz="8" w:color="47829E"/>
              <w:right w:val="single" w:sz="8" w:color="47829E"/>
            </w:tcBorders>
            <w:shd w:val="clear" w:color="auto" w:fill="47829E"/>
          </w:tcPr>
          <w:p>
            <w:pPr>
              <w:spacing w:after="0"/>
              <w:rPr>
                <w:sz w:val="12"/>
                <w:szCs w:val="12"/>
                <w:color w:val="auto"/>
              </w:rPr>
            </w:pPr>
          </w:p>
        </w:tc>
        <w:tc>
          <w:tcPr>
            <w:tcW w:w="1100" w:type="dxa"/>
            <w:vAlign w:val="bottom"/>
            <w:tcBorders>
              <w:right w:val="single" w:sz="8" w:color="47829E"/>
            </w:tcBorders>
            <w:shd w:val="clear" w:color="auto" w:fill="47829E"/>
          </w:tcPr>
          <w:p>
            <w:pPr>
              <w:spacing w:after="0"/>
              <w:rPr>
                <w:sz w:val="12"/>
                <w:szCs w:val="12"/>
                <w:color w:val="auto"/>
              </w:rPr>
            </w:pPr>
          </w:p>
        </w:tc>
        <w:tc>
          <w:tcPr>
            <w:tcW w:w="940" w:type="dxa"/>
            <w:vAlign w:val="bottom"/>
            <w:tcBorders>
              <w:right w:val="single" w:sz="8" w:color="47829E"/>
            </w:tcBorders>
            <w:shd w:val="clear" w:color="auto" w:fill="47829E"/>
          </w:tcPr>
          <w:p>
            <w:pPr>
              <w:spacing w:after="0"/>
              <w:rPr>
                <w:sz w:val="12"/>
                <w:szCs w:val="12"/>
                <w:color w:val="auto"/>
              </w:rPr>
            </w:pPr>
          </w:p>
        </w:tc>
        <w:tc>
          <w:tcPr>
            <w:tcW w:w="860" w:type="dxa"/>
            <w:vAlign w:val="bottom"/>
            <w:tcBorders>
              <w:right w:val="single" w:sz="8" w:color="47829E"/>
            </w:tcBorders>
            <w:shd w:val="clear" w:color="auto" w:fill="47829E"/>
          </w:tcPr>
          <w:p>
            <w:pPr>
              <w:spacing w:after="0"/>
              <w:rPr>
                <w:sz w:val="12"/>
                <w:szCs w:val="12"/>
                <w:color w:val="auto"/>
              </w:rPr>
            </w:pPr>
          </w:p>
        </w:tc>
        <w:tc>
          <w:tcPr>
            <w:tcW w:w="1340" w:type="dxa"/>
            <w:vAlign w:val="bottom"/>
            <w:tcBorders>
              <w:right w:val="single" w:sz="8" w:color="47829E"/>
            </w:tcBorders>
            <w:shd w:val="clear" w:color="auto" w:fill="47829E"/>
          </w:tcPr>
          <w:p>
            <w:pPr>
              <w:spacing w:after="0"/>
              <w:rPr>
                <w:sz w:val="12"/>
                <w:szCs w:val="12"/>
                <w:color w:val="auto"/>
              </w:rPr>
            </w:pPr>
          </w:p>
        </w:tc>
        <w:tc>
          <w:tcPr>
            <w:tcW w:w="140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6"/>
              </w:rPr>
              <w:t>Nonqualified</w:t>
            </w:r>
          </w:p>
        </w:tc>
        <w:tc>
          <w:tcPr>
            <w:tcW w:w="1400" w:type="dxa"/>
            <w:vAlign w:val="bottom"/>
            <w:tcBorders>
              <w:right w:val="single" w:sz="8" w:color="47829E"/>
            </w:tcBorders>
            <w:shd w:val="clear" w:color="auto" w:fill="47829E"/>
          </w:tcPr>
          <w:p>
            <w:pPr>
              <w:spacing w:after="0"/>
              <w:rPr>
                <w:sz w:val="12"/>
                <w:szCs w:val="12"/>
                <w:color w:val="auto"/>
              </w:rPr>
            </w:pPr>
          </w:p>
        </w:tc>
        <w:tc>
          <w:tcPr>
            <w:tcW w:w="1040" w:type="dxa"/>
            <w:vAlign w:val="bottom"/>
            <w:tcBorders>
              <w:right w:val="single" w:sz="8" w:color="47829E"/>
            </w:tcBorders>
            <w:shd w:val="clear" w:color="auto" w:fill="47829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Borders>
              <w:left w:val="single" w:sz="8" w:color="47829E"/>
              <w:right w:val="single" w:sz="8" w:color="47829E"/>
            </w:tcBorders>
            <w:shd w:val="clear" w:color="auto" w:fill="47829E"/>
          </w:tcPr>
          <w:p>
            <w:pPr>
              <w:spacing w:after="0"/>
              <w:rPr>
                <w:sz w:val="12"/>
                <w:szCs w:val="12"/>
                <w:color w:val="auto"/>
              </w:rPr>
            </w:pPr>
          </w:p>
        </w:tc>
        <w:tc>
          <w:tcPr>
            <w:tcW w:w="110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3"/>
              </w:rPr>
              <w:t>Fees</w:t>
            </w:r>
          </w:p>
        </w:tc>
        <w:tc>
          <w:tcPr>
            <w:tcW w:w="940" w:type="dxa"/>
            <w:vAlign w:val="bottom"/>
            <w:tcBorders>
              <w:right w:val="single" w:sz="8" w:color="47829E"/>
            </w:tcBorders>
            <w:shd w:val="clear" w:color="auto" w:fill="47829E"/>
          </w:tcPr>
          <w:p>
            <w:pPr>
              <w:spacing w:after="0"/>
              <w:rPr>
                <w:sz w:val="12"/>
                <w:szCs w:val="12"/>
                <w:color w:val="auto"/>
              </w:rPr>
            </w:pPr>
          </w:p>
        </w:tc>
        <w:tc>
          <w:tcPr>
            <w:tcW w:w="860" w:type="dxa"/>
            <w:vAlign w:val="bottom"/>
            <w:tcBorders>
              <w:right w:val="single" w:sz="8" w:color="47829E"/>
            </w:tcBorders>
            <w:shd w:val="clear" w:color="auto" w:fill="47829E"/>
          </w:tcPr>
          <w:p>
            <w:pPr>
              <w:spacing w:after="0"/>
              <w:rPr>
                <w:sz w:val="12"/>
                <w:szCs w:val="12"/>
                <w:color w:val="auto"/>
              </w:rPr>
            </w:pPr>
          </w:p>
        </w:tc>
        <w:tc>
          <w:tcPr>
            <w:tcW w:w="134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9"/>
              </w:rPr>
              <w:t>Non-Equity</w:t>
            </w:r>
          </w:p>
        </w:tc>
        <w:tc>
          <w:tcPr>
            <w:tcW w:w="140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7"/>
              </w:rPr>
              <w:t>Deferred</w:t>
            </w:r>
          </w:p>
        </w:tc>
        <w:tc>
          <w:tcPr>
            <w:tcW w:w="1400" w:type="dxa"/>
            <w:vAlign w:val="bottom"/>
            <w:tcBorders>
              <w:right w:val="single" w:sz="8" w:color="47829E"/>
            </w:tcBorders>
            <w:shd w:val="clear" w:color="auto" w:fill="47829E"/>
          </w:tcPr>
          <w:p>
            <w:pPr>
              <w:spacing w:after="0"/>
              <w:rPr>
                <w:sz w:val="12"/>
                <w:szCs w:val="12"/>
                <w:color w:val="auto"/>
              </w:rPr>
            </w:pPr>
          </w:p>
        </w:tc>
        <w:tc>
          <w:tcPr>
            <w:tcW w:w="1040" w:type="dxa"/>
            <w:vAlign w:val="bottom"/>
            <w:tcBorders>
              <w:right w:val="single" w:sz="8" w:color="47829E"/>
            </w:tcBorders>
            <w:shd w:val="clear" w:color="auto" w:fill="47829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Borders>
              <w:left w:val="single" w:sz="8" w:color="47829E"/>
              <w:right w:val="single" w:sz="8" w:color="47829E"/>
            </w:tcBorders>
            <w:shd w:val="clear" w:color="auto" w:fill="47829E"/>
          </w:tcPr>
          <w:p>
            <w:pPr>
              <w:spacing w:after="0"/>
              <w:rPr>
                <w:sz w:val="12"/>
                <w:szCs w:val="12"/>
                <w:color w:val="auto"/>
              </w:rPr>
            </w:pPr>
          </w:p>
        </w:tc>
        <w:tc>
          <w:tcPr>
            <w:tcW w:w="110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4"/>
              </w:rPr>
              <w:t>Earned or</w:t>
            </w:r>
          </w:p>
        </w:tc>
        <w:tc>
          <w:tcPr>
            <w:tcW w:w="94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9"/>
              </w:rPr>
              <w:t>Stock</w:t>
            </w:r>
          </w:p>
        </w:tc>
        <w:tc>
          <w:tcPr>
            <w:tcW w:w="86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7"/>
              </w:rPr>
              <w:t>Option</w:t>
            </w:r>
          </w:p>
        </w:tc>
        <w:tc>
          <w:tcPr>
            <w:tcW w:w="134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5"/>
              </w:rPr>
              <w:t>Incentive Plan</w:t>
            </w:r>
          </w:p>
        </w:tc>
        <w:tc>
          <w:tcPr>
            <w:tcW w:w="140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6"/>
              </w:rPr>
              <w:t>Compensation</w:t>
            </w:r>
          </w:p>
        </w:tc>
        <w:tc>
          <w:tcPr>
            <w:tcW w:w="140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4"/>
              </w:rPr>
              <w:t>All Other</w:t>
            </w:r>
          </w:p>
        </w:tc>
        <w:tc>
          <w:tcPr>
            <w:tcW w:w="1040" w:type="dxa"/>
            <w:vAlign w:val="bottom"/>
            <w:tcBorders>
              <w:right w:val="single" w:sz="8" w:color="47829E"/>
            </w:tcBorders>
            <w:shd w:val="clear" w:color="auto" w:fill="47829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60" w:type="dxa"/>
            <w:vAlign w:val="bottom"/>
            <w:tcBorders>
              <w:left w:val="single" w:sz="8" w:color="47829E"/>
              <w:right w:val="single" w:sz="8" w:color="47829E"/>
            </w:tcBorders>
            <w:vMerge w:val="restart"/>
            <w:shd w:val="clear" w:color="auto" w:fill="47829E"/>
          </w:tcPr>
          <w:p>
            <w:pPr>
              <w:ind w:left="12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22"/>
                <w:szCs w:val="22"/>
                <w:b w:val="1"/>
                <w:bCs w:val="1"/>
                <w:color w:val="FFFFFF"/>
                <w:vertAlign w:val="superscript"/>
              </w:rPr>
              <w:t>1</w:t>
            </w:r>
          </w:p>
        </w:tc>
        <w:tc>
          <w:tcPr>
            <w:tcW w:w="1100" w:type="dxa"/>
            <w:vAlign w:val="bottom"/>
            <w:tcBorders>
              <w:right w:val="single" w:sz="8" w:color="47829E"/>
            </w:tcBorders>
            <w:shd w:val="clear" w:color="auto" w:fill="47829E"/>
          </w:tcPr>
          <w:p>
            <w:pPr>
              <w:jc w:val="center"/>
              <w:spacing w:after="0" w:line="139" w:lineRule="exact"/>
              <w:rPr>
                <w:sz w:val="20"/>
                <w:szCs w:val="20"/>
                <w:color w:val="auto"/>
              </w:rPr>
            </w:pPr>
            <w:r>
              <w:rPr>
                <w:rFonts w:ascii="Arial" w:cs="Arial" w:eastAsia="Arial" w:hAnsi="Arial"/>
                <w:sz w:val="14"/>
                <w:szCs w:val="14"/>
                <w:b w:val="1"/>
                <w:bCs w:val="1"/>
                <w:color w:val="FFFFFF"/>
                <w:w w:val="97"/>
              </w:rPr>
              <w:t>Paid in Cash</w:t>
            </w:r>
          </w:p>
        </w:tc>
        <w:tc>
          <w:tcPr>
            <w:tcW w:w="940" w:type="dxa"/>
            <w:vAlign w:val="bottom"/>
            <w:tcBorders>
              <w:right w:val="single" w:sz="8" w:color="47829E"/>
            </w:tcBorders>
            <w:shd w:val="clear" w:color="auto" w:fill="47829E"/>
          </w:tcPr>
          <w:p>
            <w:pPr>
              <w:jc w:val="center"/>
              <w:spacing w:after="0" w:line="139" w:lineRule="exact"/>
              <w:rPr>
                <w:sz w:val="20"/>
                <w:szCs w:val="20"/>
                <w:color w:val="auto"/>
              </w:rPr>
            </w:pPr>
            <w:r>
              <w:rPr>
                <w:rFonts w:ascii="Arial" w:cs="Arial" w:eastAsia="Arial" w:hAnsi="Arial"/>
                <w:sz w:val="14"/>
                <w:szCs w:val="14"/>
                <w:b w:val="1"/>
                <w:bCs w:val="1"/>
                <w:color w:val="FFFFFF"/>
                <w:w w:val="98"/>
              </w:rPr>
              <w:t>Awards</w:t>
            </w:r>
          </w:p>
        </w:tc>
        <w:tc>
          <w:tcPr>
            <w:tcW w:w="860" w:type="dxa"/>
            <w:vAlign w:val="bottom"/>
            <w:tcBorders>
              <w:right w:val="single" w:sz="8" w:color="47829E"/>
            </w:tcBorders>
            <w:shd w:val="clear" w:color="auto" w:fill="47829E"/>
          </w:tcPr>
          <w:p>
            <w:pPr>
              <w:jc w:val="center"/>
              <w:spacing w:after="0" w:line="139" w:lineRule="exact"/>
              <w:rPr>
                <w:sz w:val="20"/>
                <w:szCs w:val="20"/>
                <w:color w:val="auto"/>
              </w:rPr>
            </w:pPr>
            <w:r>
              <w:rPr>
                <w:rFonts w:ascii="Arial" w:cs="Arial" w:eastAsia="Arial" w:hAnsi="Arial"/>
                <w:sz w:val="14"/>
                <w:szCs w:val="14"/>
                <w:b w:val="1"/>
                <w:bCs w:val="1"/>
                <w:color w:val="FFFFFF"/>
                <w:w w:val="94"/>
              </w:rPr>
              <w:t>Awards</w:t>
            </w:r>
          </w:p>
        </w:tc>
        <w:tc>
          <w:tcPr>
            <w:tcW w:w="1340" w:type="dxa"/>
            <w:vAlign w:val="bottom"/>
            <w:tcBorders>
              <w:right w:val="single" w:sz="8" w:color="47829E"/>
            </w:tcBorders>
            <w:shd w:val="clear" w:color="auto" w:fill="47829E"/>
          </w:tcPr>
          <w:p>
            <w:pPr>
              <w:jc w:val="center"/>
              <w:spacing w:after="0" w:line="139" w:lineRule="exact"/>
              <w:rPr>
                <w:sz w:val="20"/>
                <w:szCs w:val="20"/>
                <w:color w:val="auto"/>
              </w:rPr>
            </w:pPr>
            <w:r>
              <w:rPr>
                <w:rFonts w:ascii="Arial" w:cs="Arial" w:eastAsia="Arial" w:hAnsi="Arial"/>
                <w:sz w:val="14"/>
                <w:szCs w:val="14"/>
                <w:b w:val="1"/>
                <w:bCs w:val="1"/>
                <w:color w:val="FFFFFF"/>
                <w:w w:val="96"/>
              </w:rPr>
              <w:t>Compensation</w:t>
            </w:r>
          </w:p>
        </w:tc>
        <w:tc>
          <w:tcPr>
            <w:tcW w:w="1400" w:type="dxa"/>
            <w:vAlign w:val="bottom"/>
            <w:tcBorders>
              <w:right w:val="single" w:sz="8" w:color="47829E"/>
            </w:tcBorders>
            <w:shd w:val="clear" w:color="auto" w:fill="47829E"/>
          </w:tcPr>
          <w:p>
            <w:pPr>
              <w:jc w:val="center"/>
              <w:spacing w:after="0" w:line="139" w:lineRule="exact"/>
              <w:rPr>
                <w:sz w:val="20"/>
                <w:szCs w:val="20"/>
                <w:color w:val="auto"/>
              </w:rPr>
            </w:pPr>
            <w:r>
              <w:rPr>
                <w:rFonts w:ascii="Arial" w:cs="Arial" w:eastAsia="Arial" w:hAnsi="Arial"/>
                <w:sz w:val="14"/>
                <w:szCs w:val="14"/>
                <w:b w:val="1"/>
                <w:bCs w:val="1"/>
                <w:color w:val="FFFFFF"/>
                <w:w w:val="96"/>
              </w:rPr>
              <w:t>Earnings</w:t>
            </w:r>
          </w:p>
        </w:tc>
        <w:tc>
          <w:tcPr>
            <w:tcW w:w="1400" w:type="dxa"/>
            <w:vAlign w:val="bottom"/>
            <w:tcBorders>
              <w:right w:val="single" w:sz="8" w:color="47829E"/>
            </w:tcBorders>
            <w:shd w:val="clear" w:color="auto" w:fill="47829E"/>
          </w:tcPr>
          <w:p>
            <w:pPr>
              <w:jc w:val="center"/>
              <w:spacing w:after="0" w:line="139" w:lineRule="exact"/>
              <w:rPr>
                <w:sz w:val="20"/>
                <w:szCs w:val="20"/>
                <w:color w:val="auto"/>
              </w:rPr>
            </w:pPr>
            <w:r>
              <w:rPr>
                <w:rFonts w:ascii="Arial" w:cs="Arial" w:eastAsia="Arial" w:hAnsi="Arial"/>
                <w:sz w:val="14"/>
                <w:szCs w:val="14"/>
                <w:b w:val="1"/>
                <w:bCs w:val="1"/>
                <w:color w:val="FFFFFF"/>
                <w:w w:val="96"/>
              </w:rPr>
              <w:t>Compensation</w:t>
            </w:r>
          </w:p>
        </w:tc>
        <w:tc>
          <w:tcPr>
            <w:tcW w:w="1040" w:type="dxa"/>
            <w:vAlign w:val="bottom"/>
            <w:tcBorders>
              <w:right w:val="single" w:sz="8" w:color="47829E"/>
            </w:tcBorders>
            <w:shd w:val="clear" w:color="auto" w:fill="47829E"/>
          </w:tcPr>
          <w:p>
            <w:pPr>
              <w:ind w:left="280"/>
              <w:spacing w:after="0" w:line="139"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59"/>
        </w:trPr>
        <w:tc>
          <w:tcPr>
            <w:tcW w:w="3360" w:type="dxa"/>
            <w:vAlign w:val="bottom"/>
            <w:tcBorders>
              <w:left w:val="single" w:sz="8" w:color="47829E"/>
              <w:right w:val="single" w:sz="8" w:color="47829E"/>
            </w:tcBorders>
            <w:vMerge w:val="continue"/>
            <w:shd w:val="clear" w:color="auto" w:fill="47829E"/>
          </w:tcPr>
          <w:p>
            <w:pPr>
              <w:spacing w:after="0"/>
              <w:rPr>
                <w:sz w:val="13"/>
                <w:szCs w:val="13"/>
                <w:color w:val="auto"/>
              </w:rPr>
            </w:pPr>
          </w:p>
        </w:tc>
        <w:tc>
          <w:tcPr>
            <w:tcW w:w="110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2"/>
                <w:szCs w:val="12"/>
                <w:b w:val="1"/>
                <w:bCs w:val="1"/>
                <w:color w:val="FFFFFF"/>
              </w:rPr>
              <w:t xml:space="preserve">($) </w:t>
            </w:r>
            <w:r>
              <w:rPr>
                <w:rFonts w:ascii="Arial" w:cs="Arial" w:eastAsia="Arial" w:hAnsi="Arial"/>
                <w:sz w:val="18"/>
                <w:szCs w:val="18"/>
                <w:b w:val="1"/>
                <w:bCs w:val="1"/>
                <w:color w:val="FFFFFF"/>
                <w:vertAlign w:val="superscript"/>
              </w:rPr>
              <w:t>2</w:t>
            </w:r>
          </w:p>
        </w:tc>
        <w:tc>
          <w:tcPr>
            <w:tcW w:w="94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2"/>
                <w:szCs w:val="12"/>
                <w:b w:val="1"/>
                <w:bCs w:val="1"/>
                <w:color w:val="FFFFFF"/>
              </w:rPr>
              <w:t xml:space="preserve">($) </w:t>
            </w:r>
            <w:r>
              <w:rPr>
                <w:rFonts w:ascii="Arial" w:cs="Arial" w:eastAsia="Arial" w:hAnsi="Arial"/>
                <w:sz w:val="18"/>
                <w:szCs w:val="18"/>
                <w:b w:val="1"/>
                <w:bCs w:val="1"/>
                <w:color w:val="FFFFFF"/>
                <w:vertAlign w:val="superscript"/>
              </w:rPr>
              <w:t>3</w:t>
            </w:r>
          </w:p>
        </w:tc>
        <w:tc>
          <w:tcPr>
            <w:tcW w:w="86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2"/>
                <w:szCs w:val="12"/>
                <w:b w:val="1"/>
                <w:bCs w:val="1"/>
                <w:color w:val="FFFFFF"/>
              </w:rPr>
              <w:t xml:space="preserve">($) </w:t>
            </w:r>
            <w:r>
              <w:rPr>
                <w:rFonts w:ascii="Arial" w:cs="Arial" w:eastAsia="Arial" w:hAnsi="Arial"/>
                <w:sz w:val="18"/>
                <w:szCs w:val="18"/>
                <w:b w:val="1"/>
                <w:bCs w:val="1"/>
                <w:color w:val="FFFFFF"/>
                <w:vertAlign w:val="superscript"/>
              </w:rPr>
              <w:t>4</w:t>
            </w:r>
          </w:p>
        </w:tc>
        <w:tc>
          <w:tcPr>
            <w:tcW w:w="134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4"/>
                <w:szCs w:val="14"/>
                <w:b w:val="1"/>
                <w:bCs w:val="1"/>
                <w:color w:val="FFFFFF"/>
              </w:rPr>
              <w:t>($)</w:t>
            </w:r>
          </w:p>
        </w:tc>
        <w:tc>
          <w:tcPr>
            <w:tcW w:w="140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2"/>
                <w:szCs w:val="12"/>
                <w:b w:val="1"/>
                <w:bCs w:val="1"/>
                <w:color w:val="FFFFFF"/>
              </w:rPr>
              <w:t xml:space="preserve">($) </w:t>
            </w:r>
            <w:r>
              <w:rPr>
                <w:rFonts w:ascii="Arial" w:cs="Arial" w:eastAsia="Arial" w:hAnsi="Arial"/>
                <w:sz w:val="18"/>
                <w:szCs w:val="18"/>
                <w:b w:val="1"/>
                <w:bCs w:val="1"/>
                <w:color w:val="FFFFFF"/>
                <w:vertAlign w:val="superscript"/>
              </w:rPr>
              <w:t>5</w:t>
            </w:r>
          </w:p>
        </w:tc>
        <w:tc>
          <w:tcPr>
            <w:tcW w:w="140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2"/>
                <w:szCs w:val="12"/>
                <w:b w:val="1"/>
                <w:bCs w:val="1"/>
                <w:color w:val="FFFFFF"/>
              </w:rPr>
              <w:t xml:space="preserve">($) </w:t>
            </w:r>
            <w:r>
              <w:rPr>
                <w:rFonts w:ascii="Arial" w:cs="Arial" w:eastAsia="Arial" w:hAnsi="Arial"/>
                <w:sz w:val="18"/>
                <w:szCs w:val="18"/>
                <w:b w:val="1"/>
                <w:bCs w:val="1"/>
                <w:color w:val="FFFFFF"/>
                <w:vertAlign w:val="superscript"/>
              </w:rPr>
              <w:t>6</w:t>
            </w:r>
          </w:p>
        </w:tc>
        <w:tc>
          <w:tcPr>
            <w:tcW w:w="1040" w:type="dxa"/>
            <w:vAlign w:val="bottom"/>
            <w:tcBorders>
              <w:right w:val="single" w:sz="8" w:color="47829E"/>
            </w:tcBorders>
            <w:shd w:val="clear" w:color="auto" w:fill="47829E"/>
          </w:tcPr>
          <w:p>
            <w:pPr>
              <w:ind w:left="360"/>
              <w:spacing w:after="0" w:line="159" w:lineRule="exact"/>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79"/>
        </w:trPr>
        <w:tc>
          <w:tcPr>
            <w:tcW w:w="3360" w:type="dxa"/>
            <w:vAlign w:val="bottom"/>
            <w:tcBorders>
              <w:left w:val="single" w:sz="8" w:color="47829E"/>
              <w:right w:val="single" w:sz="8" w:color="47829E"/>
            </w:tcBorders>
            <w:shd w:val="clear" w:color="auto" w:fill="47829E"/>
          </w:tcPr>
          <w:p>
            <w:pPr>
              <w:ind w:left="120"/>
              <w:spacing w:after="0"/>
              <w:rPr>
                <w:sz w:val="20"/>
                <w:szCs w:val="20"/>
                <w:color w:val="auto"/>
              </w:rPr>
            </w:pPr>
            <w:r>
              <w:rPr>
                <w:rFonts w:ascii="Arial" w:cs="Arial" w:eastAsia="Arial" w:hAnsi="Arial"/>
                <w:sz w:val="14"/>
                <w:szCs w:val="14"/>
                <w:b w:val="1"/>
                <w:bCs w:val="1"/>
                <w:color w:val="FFFFFF"/>
              </w:rPr>
              <w:t>(a)</w:t>
            </w:r>
          </w:p>
        </w:tc>
        <w:tc>
          <w:tcPr>
            <w:tcW w:w="11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rPr>
              <w:t>(b)</w:t>
            </w:r>
          </w:p>
        </w:tc>
        <w:tc>
          <w:tcPr>
            <w:tcW w:w="940" w:type="dxa"/>
            <w:vAlign w:val="bottom"/>
            <w:tcBorders>
              <w:right w:val="single" w:sz="8" w:color="47829E"/>
            </w:tcBorders>
            <w:shd w:val="clear" w:color="auto" w:fill="47829E"/>
          </w:tcPr>
          <w:p>
            <w:pPr>
              <w:ind w:left="360"/>
              <w:spacing w:after="0"/>
              <w:rPr>
                <w:sz w:val="20"/>
                <w:szCs w:val="20"/>
                <w:color w:val="auto"/>
              </w:rPr>
            </w:pPr>
            <w:r>
              <w:rPr>
                <w:rFonts w:ascii="Arial" w:cs="Arial" w:eastAsia="Arial" w:hAnsi="Arial"/>
                <w:sz w:val="14"/>
                <w:szCs w:val="14"/>
                <w:b w:val="1"/>
                <w:bCs w:val="1"/>
                <w:color w:val="FFFFFF"/>
              </w:rPr>
              <w:t>(c)</w:t>
            </w:r>
          </w:p>
        </w:tc>
        <w:tc>
          <w:tcPr>
            <w:tcW w:w="8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rPr>
              <w:t>(d)</w:t>
            </w:r>
          </w:p>
        </w:tc>
        <w:tc>
          <w:tcPr>
            <w:tcW w:w="13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rPr>
              <w:t>(e)</w:t>
            </w:r>
          </w:p>
        </w:tc>
        <w:tc>
          <w:tcPr>
            <w:tcW w:w="14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99"/>
              </w:rPr>
              <w:t>(f)</w:t>
            </w:r>
          </w:p>
        </w:tc>
        <w:tc>
          <w:tcPr>
            <w:tcW w:w="14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89"/>
              </w:rPr>
              <w:t>(g)</w:t>
            </w:r>
          </w:p>
        </w:tc>
        <w:tc>
          <w:tcPr>
            <w:tcW w:w="1040" w:type="dxa"/>
            <w:vAlign w:val="bottom"/>
            <w:tcBorders>
              <w:right w:val="single" w:sz="8" w:color="47829E"/>
            </w:tcBorders>
            <w:shd w:val="clear" w:color="auto" w:fill="47829E"/>
          </w:tcPr>
          <w:p>
            <w:pPr>
              <w:ind w:left="360"/>
              <w:spacing w:after="0"/>
              <w:rPr>
                <w:sz w:val="20"/>
                <w:szCs w:val="20"/>
                <w:color w:val="auto"/>
              </w:rPr>
            </w:pPr>
            <w:r>
              <w:rPr>
                <w:rFonts w:ascii="Arial" w:cs="Arial" w:eastAsia="Arial" w:hAnsi="Arial"/>
                <w:sz w:val="14"/>
                <w:szCs w:val="14"/>
                <w:b w:val="1"/>
                <w:bCs w:val="1"/>
                <w:color w:val="FFFFFF"/>
              </w:rPr>
              <w:t>(h)</w:t>
            </w:r>
          </w:p>
        </w:tc>
        <w:tc>
          <w:tcPr>
            <w:tcW w:w="0" w:type="dxa"/>
            <w:vAlign w:val="bottom"/>
          </w:tcPr>
          <w:p>
            <w:pPr>
              <w:spacing w:after="0"/>
              <w:rPr>
                <w:sz w:val="1"/>
                <w:szCs w:val="1"/>
                <w:color w:val="auto"/>
              </w:rPr>
            </w:pPr>
          </w:p>
        </w:tc>
      </w:tr>
      <w:tr>
        <w:trPr>
          <w:trHeight w:val="149"/>
        </w:trPr>
        <w:tc>
          <w:tcPr>
            <w:tcW w:w="3360" w:type="dxa"/>
            <w:vAlign w:val="bottom"/>
            <w:tcBorders>
              <w:left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Sue W. Cole</w:t>
            </w:r>
          </w:p>
        </w:tc>
        <w:tc>
          <w:tcPr>
            <w:tcW w:w="110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61,750</w:t>
            </w:r>
          </w:p>
        </w:tc>
        <w:tc>
          <w:tcPr>
            <w:tcW w:w="940" w:type="dxa"/>
            <w:vAlign w:val="bottom"/>
            <w:tcBorders>
              <w:right w:val="single" w:sz="8" w:color="47829E"/>
            </w:tcBorders>
          </w:tcPr>
          <w:p>
            <w:pPr>
              <w:ind w:left="360"/>
              <w:spacing w:after="0" w:line="149" w:lineRule="exact"/>
              <w:rPr>
                <w:sz w:val="20"/>
                <w:szCs w:val="20"/>
                <w:color w:val="auto"/>
              </w:rPr>
            </w:pPr>
            <w:r>
              <w:rPr>
                <w:rFonts w:ascii="Arial" w:cs="Arial" w:eastAsia="Arial" w:hAnsi="Arial"/>
                <w:sz w:val="14"/>
                <w:szCs w:val="14"/>
                <w:color w:val="auto"/>
              </w:rPr>
              <w:t>110,110</w:t>
            </w:r>
          </w:p>
        </w:tc>
        <w:tc>
          <w:tcPr>
            <w:tcW w:w="860" w:type="dxa"/>
            <w:vAlign w:val="bottom"/>
            <w:tcBorders>
              <w:right w:val="single" w:sz="8" w:color="47829E"/>
            </w:tcBorders>
          </w:tcPr>
          <w:p>
            <w:pPr>
              <w:spacing w:after="0"/>
              <w:rPr>
                <w:sz w:val="12"/>
                <w:szCs w:val="12"/>
                <w:color w:val="auto"/>
              </w:rPr>
            </w:pPr>
          </w:p>
        </w:tc>
        <w:tc>
          <w:tcPr>
            <w:tcW w:w="1340" w:type="dxa"/>
            <w:vAlign w:val="bottom"/>
            <w:tcBorders>
              <w:right w:val="single" w:sz="8" w:color="47829E"/>
            </w:tcBorders>
          </w:tcPr>
          <w:p>
            <w:pPr>
              <w:spacing w:after="0"/>
              <w:rPr>
                <w:sz w:val="12"/>
                <w:szCs w:val="12"/>
                <w:color w:val="auto"/>
              </w:rPr>
            </w:pPr>
          </w:p>
        </w:tc>
        <w:tc>
          <w:tcPr>
            <w:tcW w:w="140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6,520</w:t>
            </w:r>
          </w:p>
        </w:tc>
        <w:tc>
          <w:tcPr>
            <w:tcW w:w="140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40,865</w:t>
            </w:r>
          </w:p>
        </w:tc>
        <w:tc>
          <w:tcPr>
            <w:tcW w:w="1040" w:type="dxa"/>
            <w:vAlign w:val="bottom"/>
            <w:tcBorders>
              <w:right w:val="single" w:sz="8" w:color="47829E"/>
            </w:tcBorders>
          </w:tcPr>
          <w:p>
            <w:pPr>
              <w:ind w:left="340"/>
              <w:spacing w:after="0" w:line="149" w:lineRule="exact"/>
              <w:rPr>
                <w:sz w:val="20"/>
                <w:szCs w:val="20"/>
                <w:color w:val="auto"/>
              </w:rPr>
            </w:pPr>
            <w:r>
              <w:rPr>
                <w:rFonts w:ascii="Arial" w:cs="Arial" w:eastAsia="Arial" w:hAnsi="Arial"/>
                <w:sz w:val="14"/>
                <w:szCs w:val="14"/>
                <w:color w:val="auto"/>
              </w:rPr>
              <w:t>219,245</w:t>
            </w:r>
          </w:p>
        </w:tc>
        <w:tc>
          <w:tcPr>
            <w:tcW w:w="0" w:type="dxa"/>
            <w:vAlign w:val="bottom"/>
          </w:tcPr>
          <w:p>
            <w:pPr>
              <w:spacing w:after="0"/>
              <w:rPr>
                <w:sz w:val="1"/>
                <w:szCs w:val="1"/>
                <w:color w:val="auto"/>
              </w:rPr>
            </w:pPr>
          </w:p>
        </w:tc>
      </w:tr>
      <w:tr>
        <w:trPr>
          <w:trHeight w:val="149"/>
        </w:trPr>
        <w:tc>
          <w:tcPr>
            <w:tcW w:w="3360" w:type="dxa"/>
            <w:vAlign w:val="bottom"/>
            <w:tcBorders>
              <w:left w:val="single" w:sz="8" w:color="47829E"/>
              <w:right w:val="single" w:sz="8" w:color="47829E"/>
            </w:tcBorders>
            <w:shd w:val="clear" w:color="auto" w:fill="E3ECF0"/>
          </w:tcPr>
          <w:p>
            <w:pPr>
              <w:ind w:left="120"/>
              <w:spacing w:after="0" w:line="149" w:lineRule="exact"/>
              <w:rPr>
                <w:sz w:val="20"/>
                <w:szCs w:val="20"/>
                <w:color w:val="auto"/>
              </w:rPr>
            </w:pPr>
            <w:r>
              <w:rPr>
                <w:rFonts w:ascii="Arial" w:cs="Arial" w:eastAsia="Arial" w:hAnsi="Arial"/>
                <w:sz w:val="14"/>
                <w:szCs w:val="14"/>
                <w:color w:val="auto"/>
              </w:rPr>
              <w:t>David G. Maffucci</w:t>
            </w:r>
          </w:p>
        </w:tc>
        <w:tc>
          <w:tcPr>
            <w:tcW w:w="110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80,000</w:t>
            </w:r>
          </w:p>
        </w:tc>
        <w:tc>
          <w:tcPr>
            <w:tcW w:w="940" w:type="dxa"/>
            <w:vAlign w:val="bottom"/>
            <w:tcBorders>
              <w:right w:val="single" w:sz="8" w:color="47829E"/>
            </w:tcBorders>
            <w:shd w:val="clear" w:color="auto" w:fill="E3ECF0"/>
          </w:tcPr>
          <w:p>
            <w:pPr>
              <w:ind w:left="360"/>
              <w:spacing w:after="0" w:line="149" w:lineRule="exact"/>
              <w:rPr>
                <w:sz w:val="20"/>
                <w:szCs w:val="20"/>
                <w:color w:val="auto"/>
              </w:rPr>
            </w:pPr>
            <w:r>
              <w:rPr>
                <w:rFonts w:ascii="Arial" w:cs="Arial" w:eastAsia="Arial" w:hAnsi="Arial"/>
                <w:sz w:val="14"/>
                <w:szCs w:val="14"/>
                <w:color w:val="auto"/>
              </w:rPr>
              <w:t>110,110</w:t>
            </w:r>
          </w:p>
        </w:tc>
        <w:tc>
          <w:tcPr>
            <w:tcW w:w="860" w:type="dxa"/>
            <w:vAlign w:val="bottom"/>
            <w:tcBorders>
              <w:right w:val="single" w:sz="8" w:color="47829E"/>
            </w:tcBorders>
            <w:shd w:val="clear" w:color="auto" w:fill="E3ECF0"/>
          </w:tcPr>
          <w:p>
            <w:pPr>
              <w:spacing w:after="0"/>
              <w:rPr>
                <w:sz w:val="12"/>
                <w:szCs w:val="12"/>
                <w:color w:val="auto"/>
              </w:rPr>
            </w:pPr>
          </w:p>
        </w:tc>
        <w:tc>
          <w:tcPr>
            <w:tcW w:w="1340" w:type="dxa"/>
            <w:vAlign w:val="bottom"/>
            <w:tcBorders>
              <w:right w:val="single" w:sz="8" w:color="47829E"/>
            </w:tcBorders>
            <w:shd w:val="clear" w:color="auto" w:fill="E3ECF0"/>
          </w:tcPr>
          <w:p>
            <w:pPr>
              <w:spacing w:after="0"/>
              <w:rPr>
                <w:sz w:val="12"/>
                <w:szCs w:val="12"/>
                <w:color w:val="auto"/>
              </w:rPr>
            </w:pPr>
          </w:p>
        </w:tc>
        <w:tc>
          <w:tcPr>
            <w:tcW w:w="140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3,395</w:t>
            </w:r>
          </w:p>
        </w:tc>
        <w:tc>
          <w:tcPr>
            <w:tcW w:w="140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28,627</w:t>
            </w:r>
          </w:p>
        </w:tc>
        <w:tc>
          <w:tcPr>
            <w:tcW w:w="1040" w:type="dxa"/>
            <w:vAlign w:val="bottom"/>
            <w:tcBorders>
              <w:right w:val="single" w:sz="8" w:color="47829E"/>
            </w:tcBorders>
            <w:shd w:val="clear" w:color="auto" w:fill="E3ECF0"/>
          </w:tcPr>
          <w:p>
            <w:pPr>
              <w:ind w:left="340"/>
              <w:spacing w:after="0" w:line="149" w:lineRule="exact"/>
              <w:rPr>
                <w:sz w:val="20"/>
                <w:szCs w:val="20"/>
                <w:color w:val="auto"/>
              </w:rPr>
            </w:pPr>
            <w:r>
              <w:rPr>
                <w:rFonts w:ascii="Arial" w:cs="Arial" w:eastAsia="Arial" w:hAnsi="Arial"/>
                <w:sz w:val="14"/>
                <w:szCs w:val="14"/>
                <w:color w:val="auto"/>
              </w:rPr>
              <w:t>222,132</w:t>
            </w:r>
          </w:p>
        </w:tc>
        <w:tc>
          <w:tcPr>
            <w:tcW w:w="0" w:type="dxa"/>
            <w:vAlign w:val="bottom"/>
          </w:tcPr>
          <w:p>
            <w:pPr>
              <w:spacing w:after="0"/>
              <w:rPr>
                <w:sz w:val="1"/>
                <w:szCs w:val="1"/>
                <w:color w:val="auto"/>
              </w:rPr>
            </w:pPr>
          </w:p>
        </w:tc>
      </w:tr>
      <w:tr>
        <w:trPr>
          <w:trHeight w:val="149"/>
        </w:trPr>
        <w:tc>
          <w:tcPr>
            <w:tcW w:w="3360" w:type="dxa"/>
            <w:vAlign w:val="bottom"/>
            <w:tcBorders>
              <w:left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William E. McDonald</w:t>
            </w:r>
          </w:p>
        </w:tc>
        <w:tc>
          <w:tcPr>
            <w:tcW w:w="110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61,750</w:t>
            </w:r>
          </w:p>
        </w:tc>
        <w:tc>
          <w:tcPr>
            <w:tcW w:w="940" w:type="dxa"/>
            <w:vAlign w:val="bottom"/>
            <w:tcBorders>
              <w:right w:val="single" w:sz="8" w:color="47829E"/>
            </w:tcBorders>
          </w:tcPr>
          <w:p>
            <w:pPr>
              <w:ind w:left="360"/>
              <w:spacing w:after="0" w:line="149" w:lineRule="exact"/>
              <w:rPr>
                <w:sz w:val="20"/>
                <w:szCs w:val="20"/>
                <w:color w:val="auto"/>
              </w:rPr>
            </w:pPr>
            <w:r>
              <w:rPr>
                <w:rFonts w:ascii="Arial" w:cs="Arial" w:eastAsia="Arial" w:hAnsi="Arial"/>
                <w:sz w:val="14"/>
                <w:szCs w:val="14"/>
                <w:color w:val="auto"/>
              </w:rPr>
              <w:t>110,110</w:t>
            </w:r>
          </w:p>
        </w:tc>
        <w:tc>
          <w:tcPr>
            <w:tcW w:w="860" w:type="dxa"/>
            <w:vAlign w:val="bottom"/>
            <w:tcBorders>
              <w:right w:val="single" w:sz="8" w:color="47829E"/>
            </w:tcBorders>
          </w:tcPr>
          <w:p>
            <w:pPr>
              <w:spacing w:after="0"/>
              <w:rPr>
                <w:sz w:val="12"/>
                <w:szCs w:val="12"/>
                <w:color w:val="auto"/>
              </w:rPr>
            </w:pPr>
          </w:p>
        </w:tc>
        <w:tc>
          <w:tcPr>
            <w:tcW w:w="1340" w:type="dxa"/>
            <w:vAlign w:val="bottom"/>
            <w:tcBorders>
              <w:right w:val="single" w:sz="8" w:color="47829E"/>
            </w:tcBorders>
          </w:tcPr>
          <w:p>
            <w:pPr>
              <w:spacing w:after="0"/>
              <w:rPr>
                <w:sz w:val="12"/>
                <w:szCs w:val="12"/>
                <w:color w:val="auto"/>
              </w:rPr>
            </w:pPr>
          </w:p>
        </w:tc>
        <w:tc>
          <w:tcPr>
            <w:tcW w:w="140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8,237</w:t>
            </w:r>
          </w:p>
        </w:tc>
        <w:tc>
          <w:tcPr>
            <w:tcW w:w="140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52,066</w:t>
            </w:r>
          </w:p>
        </w:tc>
        <w:tc>
          <w:tcPr>
            <w:tcW w:w="1040" w:type="dxa"/>
            <w:vAlign w:val="bottom"/>
            <w:tcBorders>
              <w:right w:val="single" w:sz="8" w:color="47829E"/>
            </w:tcBorders>
          </w:tcPr>
          <w:p>
            <w:pPr>
              <w:ind w:left="340"/>
              <w:spacing w:after="0" w:line="149" w:lineRule="exact"/>
              <w:rPr>
                <w:sz w:val="20"/>
                <w:szCs w:val="20"/>
                <w:color w:val="auto"/>
              </w:rPr>
            </w:pPr>
            <w:r>
              <w:rPr>
                <w:rFonts w:ascii="Arial" w:cs="Arial" w:eastAsia="Arial" w:hAnsi="Arial"/>
                <w:sz w:val="14"/>
                <w:szCs w:val="14"/>
                <w:color w:val="auto"/>
              </w:rPr>
              <w:t>232,163</w:t>
            </w:r>
          </w:p>
        </w:tc>
        <w:tc>
          <w:tcPr>
            <w:tcW w:w="0" w:type="dxa"/>
            <w:vAlign w:val="bottom"/>
          </w:tcPr>
          <w:p>
            <w:pPr>
              <w:spacing w:after="0"/>
              <w:rPr>
                <w:sz w:val="1"/>
                <w:szCs w:val="1"/>
                <w:color w:val="auto"/>
              </w:rPr>
            </w:pPr>
          </w:p>
        </w:tc>
      </w:tr>
      <w:tr>
        <w:trPr>
          <w:trHeight w:val="149"/>
        </w:trPr>
        <w:tc>
          <w:tcPr>
            <w:tcW w:w="3360" w:type="dxa"/>
            <w:vAlign w:val="bottom"/>
            <w:tcBorders>
              <w:left w:val="single" w:sz="8" w:color="47829E"/>
              <w:right w:val="single" w:sz="8" w:color="47829E"/>
            </w:tcBorders>
            <w:shd w:val="clear" w:color="auto" w:fill="E3ECF0"/>
          </w:tcPr>
          <w:p>
            <w:pPr>
              <w:ind w:left="120"/>
              <w:spacing w:after="0" w:line="149" w:lineRule="exact"/>
              <w:rPr>
                <w:sz w:val="20"/>
                <w:szCs w:val="20"/>
                <w:color w:val="auto"/>
              </w:rPr>
            </w:pPr>
            <w:r>
              <w:rPr>
                <w:rFonts w:ascii="Arial" w:cs="Arial" w:eastAsia="Arial" w:hAnsi="Arial"/>
                <w:sz w:val="14"/>
                <w:szCs w:val="14"/>
                <w:color w:val="auto"/>
              </w:rPr>
              <w:t>Frank H. Menaker, Jr.</w:t>
            </w:r>
          </w:p>
        </w:tc>
        <w:tc>
          <w:tcPr>
            <w:tcW w:w="110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67,500</w:t>
            </w:r>
          </w:p>
        </w:tc>
        <w:tc>
          <w:tcPr>
            <w:tcW w:w="940" w:type="dxa"/>
            <w:vAlign w:val="bottom"/>
            <w:tcBorders>
              <w:right w:val="single" w:sz="8" w:color="47829E"/>
            </w:tcBorders>
            <w:shd w:val="clear" w:color="auto" w:fill="E3ECF0"/>
          </w:tcPr>
          <w:p>
            <w:pPr>
              <w:ind w:left="360"/>
              <w:spacing w:after="0" w:line="149" w:lineRule="exact"/>
              <w:rPr>
                <w:sz w:val="20"/>
                <w:szCs w:val="20"/>
                <w:color w:val="auto"/>
              </w:rPr>
            </w:pPr>
            <w:r>
              <w:rPr>
                <w:rFonts w:ascii="Arial" w:cs="Arial" w:eastAsia="Arial" w:hAnsi="Arial"/>
                <w:sz w:val="14"/>
                <w:szCs w:val="14"/>
                <w:color w:val="auto"/>
              </w:rPr>
              <w:t>110,110</w:t>
            </w:r>
          </w:p>
        </w:tc>
        <w:tc>
          <w:tcPr>
            <w:tcW w:w="860" w:type="dxa"/>
            <w:vAlign w:val="bottom"/>
            <w:tcBorders>
              <w:right w:val="single" w:sz="8" w:color="47829E"/>
            </w:tcBorders>
            <w:shd w:val="clear" w:color="auto" w:fill="E3ECF0"/>
          </w:tcPr>
          <w:p>
            <w:pPr>
              <w:spacing w:after="0"/>
              <w:rPr>
                <w:sz w:val="12"/>
                <w:szCs w:val="12"/>
                <w:color w:val="auto"/>
              </w:rPr>
            </w:pPr>
          </w:p>
        </w:tc>
        <w:tc>
          <w:tcPr>
            <w:tcW w:w="1340" w:type="dxa"/>
            <w:vAlign w:val="bottom"/>
            <w:tcBorders>
              <w:right w:val="single" w:sz="8" w:color="47829E"/>
            </w:tcBorders>
            <w:shd w:val="clear" w:color="auto" w:fill="E3ECF0"/>
          </w:tcPr>
          <w:p>
            <w:pPr>
              <w:spacing w:after="0"/>
              <w:rPr>
                <w:sz w:val="12"/>
                <w:szCs w:val="12"/>
                <w:color w:val="auto"/>
              </w:rPr>
            </w:pPr>
          </w:p>
        </w:tc>
        <w:tc>
          <w:tcPr>
            <w:tcW w:w="140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9,718</w:t>
            </w:r>
          </w:p>
        </w:tc>
        <w:tc>
          <w:tcPr>
            <w:tcW w:w="140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57,818</w:t>
            </w:r>
          </w:p>
        </w:tc>
        <w:tc>
          <w:tcPr>
            <w:tcW w:w="1040" w:type="dxa"/>
            <w:vAlign w:val="bottom"/>
            <w:tcBorders>
              <w:right w:val="single" w:sz="8" w:color="47829E"/>
            </w:tcBorders>
            <w:shd w:val="clear" w:color="auto" w:fill="E3ECF0"/>
          </w:tcPr>
          <w:p>
            <w:pPr>
              <w:ind w:left="340"/>
              <w:spacing w:after="0" w:line="149" w:lineRule="exact"/>
              <w:rPr>
                <w:sz w:val="20"/>
                <w:szCs w:val="20"/>
                <w:color w:val="auto"/>
              </w:rPr>
            </w:pPr>
            <w:r>
              <w:rPr>
                <w:rFonts w:ascii="Arial" w:cs="Arial" w:eastAsia="Arial" w:hAnsi="Arial"/>
                <w:sz w:val="14"/>
                <w:szCs w:val="14"/>
                <w:color w:val="auto"/>
              </w:rPr>
              <w:t>245,146</w:t>
            </w:r>
          </w:p>
        </w:tc>
        <w:tc>
          <w:tcPr>
            <w:tcW w:w="0" w:type="dxa"/>
            <w:vAlign w:val="bottom"/>
          </w:tcPr>
          <w:p>
            <w:pPr>
              <w:spacing w:after="0"/>
              <w:rPr>
                <w:sz w:val="1"/>
                <w:szCs w:val="1"/>
                <w:color w:val="auto"/>
              </w:rPr>
            </w:pPr>
          </w:p>
        </w:tc>
      </w:tr>
      <w:tr>
        <w:trPr>
          <w:trHeight w:val="149"/>
        </w:trPr>
        <w:tc>
          <w:tcPr>
            <w:tcW w:w="3360" w:type="dxa"/>
            <w:vAlign w:val="bottom"/>
            <w:tcBorders>
              <w:left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Laree E. Perez</w:t>
            </w:r>
          </w:p>
        </w:tc>
        <w:tc>
          <w:tcPr>
            <w:tcW w:w="110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74,250</w:t>
            </w:r>
          </w:p>
        </w:tc>
        <w:tc>
          <w:tcPr>
            <w:tcW w:w="940" w:type="dxa"/>
            <w:vAlign w:val="bottom"/>
            <w:tcBorders>
              <w:right w:val="single" w:sz="8" w:color="47829E"/>
            </w:tcBorders>
          </w:tcPr>
          <w:p>
            <w:pPr>
              <w:ind w:left="360"/>
              <w:spacing w:after="0" w:line="149" w:lineRule="exact"/>
              <w:rPr>
                <w:sz w:val="20"/>
                <w:szCs w:val="20"/>
                <w:color w:val="auto"/>
              </w:rPr>
            </w:pPr>
            <w:r>
              <w:rPr>
                <w:rFonts w:ascii="Arial" w:cs="Arial" w:eastAsia="Arial" w:hAnsi="Arial"/>
                <w:sz w:val="14"/>
                <w:szCs w:val="14"/>
                <w:color w:val="auto"/>
              </w:rPr>
              <w:t>110,110</w:t>
            </w:r>
          </w:p>
        </w:tc>
        <w:tc>
          <w:tcPr>
            <w:tcW w:w="860" w:type="dxa"/>
            <w:vAlign w:val="bottom"/>
            <w:tcBorders>
              <w:right w:val="single" w:sz="8" w:color="47829E"/>
            </w:tcBorders>
          </w:tcPr>
          <w:p>
            <w:pPr>
              <w:spacing w:after="0"/>
              <w:rPr>
                <w:sz w:val="12"/>
                <w:szCs w:val="12"/>
                <w:color w:val="auto"/>
              </w:rPr>
            </w:pPr>
          </w:p>
        </w:tc>
        <w:tc>
          <w:tcPr>
            <w:tcW w:w="1340" w:type="dxa"/>
            <w:vAlign w:val="bottom"/>
            <w:tcBorders>
              <w:right w:val="single" w:sz="8" w:color="47829E"/>
            </w:tcBorders>
          </w:tcPr>
          <w:p>
            <w:pPr>
              <w:spacing w:after="0"/>
              <w:rPr>
                <w:sz w:val="12"/>
                <w:szCs w:val="12"/>
                <w:color w:val="auto"/>
              </w:rPr>
            </w:pPr>
          </w:p>
        </w:tc>
        <w:tc>
          <w:tcPr>
            <w:tcW w:w="140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2,510</w:t>
            </w:r>
          </w:p>
        </w:tc>
        <w:tc>
          <w:tcPr>
            <w:tcW w:w="140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23,307</w:t>
            </w:r>
          </w:p>
        </w:tc>
        <w:tc>
          <w:tcPr>
            <w:tcW w:w="1040" w:type="dxa"/>
            <w:vAlign w:val="bottom"/>
            <w:tcBorders>
              <w:right w:val="single" w:sz="8" w:color="47829E"/>
            </w:tcBorders>
          </w:tcPr>
          <w:p>
            <w:pPr>
              <w:ind w:left="340"/>
              <w:spacing w:after="0" w:line="149" w:lineRule="exact"/>
              <w:rPr>
                <w:sz w:val="20"/>
                <w:szCs w:val="20"/>
                <w:color w:val="auto"/>
              </w:rPr>
            </w:pPr>
            <w:r>
              <w:rPr>
                <w:rFonts w:ascii="Arial" w:cs="Arial" w:eastAsia="Arial" w:hAnsi="Arial"/>
                <w:sz w:val="14"/>
                <w:szCs w:val="14"/>
                <w:color w:val="auto"/>
              </w:rPr>
              <w:t>210,177</w:t>
            </w:r>
          </w:p>
        </w:tc>
        <w:tc>
          <w:tcPr>
            <w:tcW w:w="0" w:type="dxa"/>
            <w:vAlign w:val="bottom"/>
          </w:tcPr>
          <w:p>
            <w:pPr>
              <w:spacing w:after="0"/>
              <w:rPr>
                <w:sz w:val="1"/>
                <w:szCs w:val="1"/>
                <w:color w:val="auto"/>
              </w:rPr>
            </w:pPr>
          </w:p>
        </w:tc>
      </w:tr>
      <w:tr>
        <w:trPr>
          <w:trHeight w:val="149"/>
        </w:trPr>
        <w:tc>
          <w:tcPr>
            <w:tcW w:w="3360" w:type="dxa"/>
            <w:vAlign w:val="bottom"/>
            <w:tcBorders>
              <w:left w:val="single" w:sz="8" w:color="47829E"/>
              <w:right w:val="single" w:sz="8" w:color="47829E"/>
            </w:tcBorders>
            <w:shd w:val="clear" w:color="auto" w:fill="E3ECF0"/>
          </w:tcPr>
          <w:p>
            <w:pPr>
              <w:ind w:left="120"/>
              <w:spacing w:after="0" w:line="149" w:lineRule="exact"/>
              <w:rPr>
                <w:sz w:val="20"/>
                <w:szCs w:val="20"/>
                <w:color w:val="auto"/>
              </w:rPr>
            </w:pPr>
            <w:r>
              <w:rPr>
                <w:rFonts w:ascii="Arial" w:cs="Arial" w:eastAsia="Arial" w:hAnsi="Arial"/>
                <w:sz w:val="14"/>
                <w:szCs w:val="14"/>
                <w:color w:val="auto"/>
              </w:rPr>
              <w:t>Michael J. Quillen</w:t>
            </w:r>
          </w:p>
        </w:tc>
        <w:tc>
          <w:tcPr>
            <w:tcW w:w="110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83,750</w:t>
            </w:r>
          </w:p>
        </w:tc>
        <w:tc>
          <w:tcPr>
            <w:tcW w:w="940" w:type="dxa"/>
            <w:vAlign w:val="bottom"/>
            <w:tcBorders>
              <w:right w:val="single" w:sz="8" w:color="47829E"/>
            </w:tcBorders>
            <w:shd w:val="clear" w:color="auto" w:fill="E3ECF0"/>
          </w:tcPr>
          <w:p>
            <w:pPr>
              <w:ind w:left="360"/>
              <w:spacing w:after="0" w:line="149" w:lineRule="exact"/>
              <w:rPr>
                <w:sz w:val="20"/>
                <w:szCs w:val="20"/>
                <w:color w:val="auto"/>
              </w:rPr>
            </w:pPr>
            <w:r>
              <w:rPr>
                <w:rFonts w:ascii="Arial" w:cs="Arial" w:eastAsia="Arial" w:hAnsi="Arial"/>
                <w:sz w:val="14"/>
                <w:szCs w:val="14"/>
                <w:color w:val="auto"/>
              </w:rPr>
              <w:t>110,110</w:t>
            </w:r>
          </w:p>
        </w:tc>
        <w:tc>
          <w:tcPr>
            <w:tcW w:w="860" w:type="dxa"/>
            <w:vAlign w:val="bottom"/>
            <w:tcBorders>
              <w:right w:val="single" w:sz="8" w:color="47829E"/>
            </w:tcBorders>
            <w:shd w:val="clear" w:color="auto" w:fill="E3ECF0"/>
          </w:tcPr>
          <w:p>
            <w:pPr>
              <w:spacing w:after="0"/>
              <w:rPr>
                <w:sz w:val="12"/>
                <w:szCs w:val="12"/>
                <w:color w:val="auto"/>
              </w:rPr>
            </w:pPr>
          </w:p>
        </w:tc>
        <w:tc>
          <w:tcPr>
            <w:tcW w:w="1340" w:type="dxa"/>
            <w:vAlign w:val="bottom"/>
            <w:tcBorders>
              <w:right w:val="single" w:sz="8" w:color="47829E"/>
            </w:tcBorders>
            <w:shd w:val="clear" w:color="auto" w:fill="E3ECF0"/>
          </w:tcPr>
          <w:p>
            <w:pPr>
              <w:spacing w:after="0"/>
              <w:rPr>
                <w:sz w:val="12"/>
                <w:szCs w:val="12"/>
                <w:color w:val="auto"/>
              </w:rPr>
            </w:pPr>
          </w:p>
        </w:tc>
        <w:tc>
          <w:tcPr>
            <w:tcW w:w="140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2,051</w:t>
            </w:r>
          </w:p>
        </w:tc>
        <w:tc>
          <w:tcPr>
            <w:tcW w:w="140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40,695</w:t>
            </w:r>
          </w:p>
        </w:tc>
        <w:tc>
          <w:tcPr>
            <w:tcW w:w="1040" w:type="dxa"/>
            <w:vAlign w:val="bottom"/>
            <w:tcBorders>
              <w:right w:val="single" w:sz="8" w:color="47829E"/>
            </w:tcBorders>
            <w:shd w:val="clear" w:color="auto" w:fill="E3ECF0"/>
          </w:tcPr>
          <w:p>
            <w:pPr>
              <w:ind w:left="340"/>
              <w:spacing w:after="0" w:line="149" w:lineRule="exact"/>
              <w:rPr>
                <w:sz w:val="20"/>
                <w:szCs w:val="20"/>
                <w:color w:val="auto"/>
              </w:rPr>
            </w:pPr>
            <w:r>
              <w:rPr>
                <w:rFonts w:ascii="Arial" w:cs="Arial" w:eastAsia="Arial" w:hAnsi="Arial"/>
                <w:sz w:val="14"/>
                <w:szCs w:val="14"/>
                <w:color w:val="auto"/>
              </w:rPr>
              <w:t>236,606</w:t>
            </w:r>
          </w:p>
        </w:tc>
        <w:tc>
          <w:tcPr>
            <w:tcW w:w="0" w:type="dxa"/>
            <w:vAlign w:val="bottom"/>
          </w:tcPr>
          <w:p>
            <w:pPr>
              <w:spacing w:after="0"/>
              <w:rPr>
                <w:sz w:val="1"/>
                <w:szCs w:val="1"/>
                <w:color w:val="auto"/>
              </w:rPr>
            </w:pPr>
          </w:p>
        </w:tc>
      </w:tr>
      <w:tr>
        <w:trPr>
          <w:trHeight w:val="149"/>
        </w:trPr>
        <w:tc>
          <w:tcPr>
            <w:tcW w:w="3360" w:type="dxa"/>
            <w:vAlign w:val="bottom"/>
            <w:tcBorders>
              <w:left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Dennis L. Rediker</w:t>
            </w:r>
          </w:p>
        </w:tc>
        <w:tc>
          <w:tcPr>
            <w:tcW w:w="110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66,250</w:t>
            </w:r>
          </w:p>
        </w:tc>
        <w:tc>
          <w:tcPr>
            <w:tcW w:w="940" w:type="dxa"/>
            <w:vAlign w:val="bottom"/>
            <w:tcBorders>
              <w:right w:val="single" w:sz="8" w:color="47829E"/>
            </w:tcBorders>
          </w:tcPr>
          <w:p>
            <w:pPr>
              <w:ind w:left="360"/>
              <w:spacing w:after="0" w:line="149" w:lineRule="exact"/>
              <w:rPr>
                <w:sz w:val="20"/>
                <w:szCs w:val="20"/>
                <w:color w:val="auto"/>
              </w:rPr>
            </w:pPr>
            <w:r>
              <w:rPr>
                <w:rFonts w:ascii="Arial" w:cs="Arial" w:eastAsia="Arial" w:hAnsi="Arial"/>
                <w:sz w:val="14"/>
                <w:szCs w:val="14"/>
                <w:color w:val="auto"/>
              </w:rPr>
              <w:t>110,110</w:t>
            </w:r>
          </w:p>
        </w:tc>
        <w:tc>
          <w:tcPr>
            <w:tcW w:w="860" w:type="dxa"/>
            <w:vAlign w:val="bottom"/>
            <w:tcBorders>
              <w:right w:val="single" w:sz="8" w:color="47829E"/>
            </w:tcBorders>
          </w:tcPr>
          <w:p>
            <w:pPr>
              <w:spacing w:after="0"/>
              <w:rPr>
                <w:sz w:val="12"/>
                <w:szCs w:val="12"/>
                <w:color w:val="auto"/>
              </w:rPr>
            </w:pPr>
          </w:p>
        </w:tc>
        <w:tc>
          <w:tcPr>
            <w:tcW w:w="1340" w:type="dxa"/>
            <w:vAlign w:val="bottom"/>
            <w:tcBorders>
              <w:right w:val="single" w:sz="8" w:color="47829E"/>
            </w:tcBorders>
          </w:tcPr>
          <w:p>
            <w:pPr>
              <w:spacing w:after="0"/>
              <w:rPr>
                <w:sz w:val="12"/>
                <w:szCs w:val="12"/>
                <w:color w:val="auto"/>
              </w:rPr>
            </w:pPr>
          </w:p>
        </w:tc>
        <w:tc>
          <w:tcPr>
            <w:tcW w:w="140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4,935</w:t>
            </w:r>
          </w:p>
        </w:tc>
        <w:tc>
          <w:tcPr>
            <w:tcW w:w="140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30,012</w:t>
            </w:r>
          </w:p>
        </w:tc>
        <w:tc>
          <w:tcPr>
            <w:tcW w:w="1040" w:type="dxa"/>
            <w:vAlign w:val="bottom"/>
            <w:tcBorders>
              <w:right w:val="single" w:sz="8" w:color="47829E"/>
            </w:tcBorders>
          </w:tcPr>
          <w:p>
            <w:pPr>
              <w:ind w:left="340"/>
              <w:spacing w:after="0" w:line="149" w:lineRule="exact"/>
              <w:rPr>
                <w:sz w:val="20"/>
                <w:szCs w:val="20"/>
                <w:color w:val="auto"/>
              </w:rPr>
            </w:pPr>
            <w:r>
              <w:rPr>
                <w:rFonts w:ascii="Arial" w:cs="Arial" w:eastAsia="Arial" w:hAnsi="Arial"/>
                <w:sz w:val="14"/>
                <w:szCs w:val="14"/>
                <w:color w:val="auto"/>
              </w:rPr>
              <w:t>211,307</w:t>
            </w:r>
          </w:p>
        </w:tc>
        <w:tc>
          <w:tcPr>
            <w:tcW w:w="0" w:type="dxa"/>
            <w:vAlign w:val="bottom"/>
          </w:tcPr>
          <w:p>
            <w:pPr>
              <w:spacing w:after="0"/>
              <w:rPr>
                <w:sz w:val="1"/>
                <w:szCs w:val="1"/>
                <w:color w:val="auto"/>
              </w:rPr>
            </w:pPr>
          </w:p>
        </w:tc>
      </w:tr>
      <w:tr>
        <w:trPr>
          <w:trHeight w:val="149"/>
        </w:trPr>
        <w:tc>
          <w:tcPr>
            <w:tcW w:w="3360" w:type="dxa"/>
            <w:vAlign w:val="bottom"/>
            <w:tcBorders>
              <w:left w:val="single" w:sz="8" w:color="47829E"/>
              <w:right w:val="single" w:sz="8" w:color="47829E"/>
            </w:tcBorders>
            <w:shd w:val="clear" w:color="auto" w:fill="E3ECF0"/>
          </w:tcPr>
          <w:p>
            <w:pPr>
              <w:ind w:left="120"/>
              <w:spacing w:after="0" w:line="149" w:lineRule="exact"/>
              <w:rPr>
                <w:sz w:val="20"/>
                <w:szCs w:val="20"/>
                <w:color w:val="auto"/>
              </w:rPr>
            </w:pPr>
            <w:r>
              <w:rPr>
                <w:rFonts w:ascii="Arial" w:cs="Arial" w:eastAsia="Arial" w:hAnsi="Arial"/>
                <w:sz w:val="14"/>
                <w:szCs w:val="14"/>
                <w:color w:val="auto"/>
              </w:rPr>
              <w:t>Richard A. Vinroot</w:t>
            </w:r>
          </w:p>
        </w:tc>
        <w:tc>
          <w:tcPr>
            <w:tcW w:w="110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56,750</w:t>
            </w:r>
          </w:p>
        </w:tc>
        <w:tc>
          <w:tcPr>
            <w:tcW w:w="940" w:type="dxa"/>
            <w:vAlign w:val="bottom"/>
            <w:tcBorders>
              <w:right w:val="single" w:sz="8" w:color="47829E"/>
            </w:tcBorders>
            <w:shd w:val="clear" w:color="auto" w:fill="E3ECF0"/>
          </w:tcPr>
          <w:p>
            <w:pPr>
              <w:ind w:left="360"/>
              <w:spacing w:after="0" w:line="149" w:lineRule="exact"/>
              <w:rPr>
                <w:sz w:val="20"/>
                <w:szCs w:val="20"/>
                <w:color w:val="auto"/>
              </w:rPr>
            </w:pPr>
            <w:r>
              <w:rPr>
                <w:rFonts w:ascii="Arial" w:cs="Arial" w:eastAsia="Arial" w:hAnsi="Arial"/>
                <w:sz w:val="14"/>
                <w:szCs w:val="14"/>
                <w:color w:val="auto"/>
              </w:rPr>
              <w:t>110,110</w:t>
            </w:r>
          </w:p>
        </w:tc>
        <w:tc>
          <w:tcPr>
            <w:tcW w:w="860" w:type="dxa"/>
            <w:vAlign w:val="bottom"/>
            <w:tcBorders>
              <w:right w:val="single" w:sz="8" w:color="47829E"/>
            </w:tcBorders>
            <w:shd w:val="clear" w:color="auto" w:fill="E3ECF0"/>
          </w:tcPr>
          <w:p>
            <w:pPr>
              <w:spacing w:after="0"/>
              <w:rPr>
                <w:sz w:val="12"/>
                <w:szCs w:val="12"/>
                <w:color w:val="auto"/>
              </w:rPr>
            </w:pPr>
          </w:p>
        </w:tc>
        <w:tc>
          <w:tcPr>
            <w:tcW w:w="1340" w:type="dxa"/>
            <w:vAlign w:val="bottom"/>
            <w:tcBorders>
              <w:right w:val="single" w:sz="8" w:color="47829E"/>
            </w:tcBorders>
            <w:shd w:val="clear" w:color="auto" w:fill="E3ECF0"/>
          </w:tcPr>
          <w:p>
            <w:pPr>
              <w:spacing w:after="0"/>
              <w:rPr>
                <w:sz w:val="12"/>
                <w:szCs w:val="12"/>
                <w:color w:val="auto"/>
              </w:rPr>
            </w:pPr>
          </w:p>
        </w:tc>
        <w:tc>
          <w:tcPr>
            <w:tcW w:w="140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8,719</w:t>
            </w:r>
          </w:p>
        </w:tc>
        <w:tc>
          <w:tcPr>
            <w:tcW w:w="140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50,884</w:t>
            </w:r>
          </w:p>
        </w:tc>
        <w:tc>
          <w:tcPr>
            <w:tcW w:w="1040" w:type="dxa"/>
            <w:vAlign w:val="bottom"/>
            <w:tcBorders>
              <w:right w:val="single" w:sz="8" w:color="47829E"/>
            </w:tcBorders>
            <w:shd w:val="clear" w:color="auto" w:fill="E3ECF0"/>
          </w:tcPr>
          <w:p>
            <w:pPr>
              <w:ind w:left="340"/>
              <w:spacing w:after="0" w:line="149" w:lineRule="exact"/>
              <w:rPr>
                <w:sz w:val="20"/>
                <w:szCs w:val="20"/>
                <w:color w:val="auto"/>
              </w:rPr>
            </w:pPr>
            <w:r>
              <w:rPr>
                <w:rFonts w:ascii="Arial" w:cs="Arial" w:eastAsia="Arial" w:hAnsi="Arial"/>
                <w:sz w:val="14"/>
                <w:szCs w:val="14"/>
                <w:color w:val="auto"/>
              </w:rPr>
              <w:t>226,463</w:t>
            </w:r>
          </w:p>
        </w:tc>
        <w:tc>
          <w:tcPr>
            <w:tcW w:w="0" w:type="dxa"/>
            <w:vAlign w:val="bottom"/>
          </w:tcPr>
          <w:p>
            <w:pPr>
              <w:spacing w:after="0"/>
              <w:rPr>
                <w:sz w:val="1"/>
                <w:szCs w:val="1"/>
                <w:color w:val="auto"/>
              </w:rPr>
            </w:pPr>
          </w:p>
        </w:tc>
      </w:tr>
      <w:tr>
        <w:trPr>
          <w:trHeight w:val="149"/>
        </w:trPr>
        <w:tc>
          <w:tcPr>
            <w:tcW w:w="3360" w:type="dxa"/>
            <w:vAlign w:val="bottom"/>
            <w:tcBorders>
              <w:left w:val="single" w:sz="8" w:color="47829E"/>
              <w:bottom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Stephen P. Zelnak, Jr.</w:t>
            </w:r>
          </w:p>
        </w:tc>
        <w:tc>
          <w:tcPr>
            <w:tcW w:w="1100" w:type="dxa"/>
            <w:vAlign w:val="bottom"/>
            <w:tcBorders>
              <w:bottom w:val="single" w:sz="8" w:color="47829E"/>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46,250</w:t>
            </w:r>
          </w:p>
        </w:tc>
        <w:tc>
          <w:tcPr>
            <w:tcW w:w="940" w:type="dxa"/>
            <w:vAlign w:val="bottom"/>
            <w:tcBorders>
              <w:bottom w:val="single" w:sz="8" w:color="47829E"/>
              <w:right w:val="single" w:sz="8" w:color="47829E"/>
            </w:tcBorders>
          </w:tcPr>
          <w:p>
            <w:pPr>
              <w:ind w:left="360"/>
              <w:spacing w:after="0" w:line="149" w:lineRule="exact"/>
              <w:rPr>
                <w:sz w:val="20"/>
                <w:szCs w:val="20"/>
                <w:color w:val="auto"/>
              </w:rPr>
            </w:pPr>
            <w:r>
              <w:rPr>
                <w:rFonts w:ascii="Arial" w:cs="Arial" w:eastAsia="Arial" w:hAnsi="Arial"/>
                <w:sz w:val="14"/>
                <w:szCs w:val="14"/>
                <w:color w:val="auto"/>
              </w:rPr>
              <w:t>110,110</w:t>
            </w:r>
          </w:p>
        </w:tc>
        <w:tc>
          <w:tcPr>
            <w:tcW w:w="860" w:type="dxa"/>
            <w:vAlign w:val="bottom"/>
            <w:tcBorders>
              <w:bottom w:val="single" w:sz="8" w:color="47829E"/>
              <w:right w:val="single" w:sz="8" w:color="47829E"/>
            </w:tcBorders>
          </w:tcPr>
          <w:p>
            <w:pPr>
              <w:spacing w:after="0"/>
              <w:rPr>
                <w:sz w:val="12"/>
                <w:szCs w:val="12"/>
                <w:color w:val="auto"/>
              </w:rPr>
            </w:pPr>
          </w:p>
        </w:tc>
        <w:tc>
          <w:tcPr>
            <w:tcW w:w="1340" w:type="dxa"/>
            <w:vAlign w:val="bottom"/>
            <w:tcBorders>
              <w:bottom w:val="single" w:sz="8" w:color="47829E"/>
              <w:right w:val="single" w:sz="8" w:color="47829E"/>
            </w:tcBorders>
          </w:tcPr>
          <w:p>
            <w:pPr>
              <w:spacing w:after="0"/>
              <w:rPr>
                <w:sz w:val="12"/>
                <w:szCs w:val="12"/>
                <w:color w:val="auto"/>
              </w:rPr>
            </w:pPr>
          </w:p>
        </w:tc>
        <w:tc>
          <w:tcPr>
            <w:tcW w:w="1400" w:type="dxa"/>
            <w:vAlign w:val="bottom"/>
            <w:tcBorders>
              <w:bottom w:val="single" w:sz="8" w:color="47829E"/>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1,443</w:t>
            </w:r>
          </w:p>
        </w:tc>
        <w:tc>
          <w:tcPr>
            <w:tcW w:w="1400" w:type="dxa"/>
            <w:vAlign w:val="bottom"/>
            <w:tcBorders>
              <w:bottom w:val="single" w:sz="8" w:color="47829E"/>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23,415</w:t>
            </w:r>
          </w:p>
        </w:tc>
        <w:tc>
          <w:tcPr>
            <w:tcW w:w="1040" w:type="dxa"/>
            <w:vAlign w:val="bottom"/>
            <w:tcBorders>
              <w:bottom w:val="single" w:sz="8" w:color="47829E"/>
              <w:right w:val="single" w:sz="8" w:color="47829E"/>
            </w:tcBorders>
          </w:tcPr>
          <w:p>
            <w:pPr>
              <w:ind w:left="340"/>
              <w:spacing w:after="0" w:line="149" w:lineRule="exact"/>
              <w:rPr>
                <w:sz w:val="20"/>
                <w:szCs w:val="20"/>
                <w:color w:val="auto"/>
              </w:rPr>
            </w:pPr>
            <w:r>
              <w:rPr>
                <w:rFonts w:ascii="Arial" w:cs="Arial" w:eastAsia="Arial" w:hAnsi="Arial"/>
                <w:sz w:val="14"/>
                <w:szCs w:val="14"/>
                <w:color w:val="auto"/>
              </w:rPr>
              <w:t>181,218</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20" w:right="140" w:hanging="112"/>
        <w:spacing w:after="0" w:line="180" w:lineRule="auto"/>
        <w:tabs>
          <w:tab w:leader="none" w:pos="12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Mr. Nye, who is the Chief Executive Officer of Martin Marietta and a member of the Board of Directors, is not included in this table because he is not compensated separately for his service as a Director. The compensation received by Mr. Nye as an employee of Martin Marietta is shown in the Summary Compensation Table on page 45.</w:t>
      </w:r>
    </w:p>
    <w:p>
      <w:pPr>
        <w:spacing w:after="0" w:line="68" w:lineRule="exact"/>
        <w:rPr>
          <w:sz w:val="20"/>
          <w:szCs w:val="20"/>
          <w:color w:val="auto"/>
        </w:rPr>
      </w:pPr>
    </w:p>
    <w:p>
      <w:pPr>
        <w:ind w:left="120" w:right="280" w:hanging="112"/>
        <w:spacing w:after="0" w:line="224" w:lineRule="auto"/>
        <w:tabs>
          <w:tab w:leader="none" w:pos="120" w:val="left"/>
        </w:tabs>
        <w:numPr>
          <w:ilvl w:val="0"/>
          <w:numId w:val="13"/>
        </w:numPr>
        <w:rPr>
          <w:rFonts w:ascii="Arial" w:cs="Arial" w:eastAsia="Arial" w:hAnsi="Arial"/>
          <w:sz w:val="21"/>
          <w:szCs w:val="21"/>
          <w:color w:val="auto"/>
          <w:vertAlign w:val="superscript"/>
        </w:rPr>
      </w:pPr>
      <w:r>
        <w:rPr>
          <w:rFonts w:ascii="Arial" w:cs="Arial" w:eastAsia="Arial" w:hAnsi="Arial"/>
          <w:sz w:val="13"/>
          <w:szCs w:val="13"/>
          <w:color w:val="auto"/>
        </w:rPr>
        <w:t>The amounts in column (b) reflect fees earned in 2014. Some of these fees were deferred pursuant to the Common Stock Purchase Plan for Directors in the form of common stock units. The number of units of common stock credited in 2014 to each of the Directors under the Common Stock Purchase Plan for Directors and the grant date fair value for these awards determined in accordance with FASB ASC Topic 718, which includes the 20% discount, are as follows: Ms. Cole, 318 units and $30,875 value, respectively; Mr. Maffucci, 165 units and $16,000 value, respectively; Mr. McDonald, 633 units and $61,750 value, respectively; Mr. Menaker, 689 units and $67,500 value, respectively; Ms. Perez, 155 units and $14,850 value, respectively; Mr. Quillen, 882 units and $83,750 value, respectively; Mr. Rediker, 138 units and $13,250 value, respectively; Mr. Vinroot, 584 units and $56,750 value, respectively; and Mr. Zelnak, 240 units and $23,125 value, respectively. The number of units credited to each of the Directors as of December 31, 2014, including units accumulated under the plan for all years of service as a Director, is as follows: Ms. Cole, 13,511; Mr. Maffucci, 8,568; Mr. McDonald, 15,796; Mr. Menaker, 18,630; Ms. Perez, 4,948; Mr. Quillen, 5,636; Mr. Rediker, 9,420; Mr. Vinroot, 15,874; and Mr. Zelnak, 5,195. The 20% discount from the market price of Martin Marietta’s common stock used in converting to common stock is reported in column (g).</w:t>
      </w:r>
    </w:p>
    <w:p>
      <w:pPr>
        <w:spacing w:after="0" w:line="67" w:lineRule="exact"/>
        <w:rPr>
          <w:sz w:val="20"/>
          <w:szCs w:val="20"/>
          <w:color w:val="auto"/>
        </w:rPr>
      </w:pPr>
    </w:p>
    <w:p>
      <w:pPr>
        <w:ind w:left="120" w:right="160" w:hanging="112"/>
        <w:spacing w:after="0" w:line="191" w:lineRule="auto"/>
        <w:tabs>
          <w:tab w:leader="none" w:pos="12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Each Director received 910 restricted stock units in 2014. The amounts in column (c) reflect the grant date fair value for these awards determined in accordance with FASB ASC Topic 718. The restricted stock units fully vested upon award and will be distributed to the Director upon retirement, except Mr. Maffucci received a distribution of 455 unrestricted shares of common stock and deferred the distribution of 455 restricted stock units until retirement.</w:t>
      </w:r>
    </w:p>
    <w:p>
      <w:pPr>
        <w:spacing w:after="0" w:line="69" w:lineRule="exact"/>
        <w:rPr>
          <w:sz w:val="20"/>
          <w:szCs w:val="20"/>
          <w:color w:val="auto"/>
        </w:rPr>
      </w:pPr>
    </w:p>
    <w:p>
      <w:pPr>
        <w:ind w:left="120" w:right="440" w:hanging="112"/>
        <w:spacing w:after="0" w:line="180" w:lineRule="auto"/>
        <w:tabs>
          <w:tab w:leader="none" w:pos="12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As of December 31, 2014, each Director held options for common stock in the amounts as follows: Ms. Cole, 12,000; Mr. Maffucci, 9,000; Mr. McDonald, 12,000; Mr. Menaker, 12,000; Ms. Perez, 9,000; Mr. Quillen, 3,000; Mr. Rediker, 6,000; Mr. Vinroot, 12,000; and Mr. Zelnak, 82,356.</w:t>
      </w:r>
    </w:p>
    <w:p>
      <w:pPr>
        <w:ind w:left="120" w:hanging="112"/>
        <w:spacing w:after="0" w:line="218" w:lineRule="auto"/>
        <w:tabs>
          <w:tab w:leader="none" w:pos="12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The amounts in column (f) reflect interest paid on fees deferred in cash under the plan.</w:t>
      </w:r>
    </w:p>
    <w:p>
      <w:pPr>
        <w:spacing w:after="0" w:line="67" w:lineRule="exact"/>
        <w:rPr>
          <w:sz w:val="20"/>
          <w:szCs w:val="20"/>
          <w:color w:val="auto"/>
        </w:rPr>
      </w:pPr>
    </w:p>
    <w:p>
      <w:pPr>
        <w:ind w:left="120" w:right="220" w:hanging="112"/>
        <w:spacing w:after="0" w:line="191" w:lineRule="auto"/>
        <w:tabs>
          <w:tab w:leader="none" w:pos="12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The amounts in column (g) reflect for each Director: (i) an amount equal to the 20% discount from the market price of Martin Marietta’s common stock used in converting fees deferred in 2014 into common stock units pursuant to the Common Stock Purchase Plan for Directors, and (ii) the dollar value of dividend equivalents paid in 2014 on common stock units held under the plan. The Directors did not receive perquisites or other personal benefits in 2014.</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40"/>
          </w:cols>
          <w:pgMar w:left="240" w:top="271" w:right="2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 MATTERS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Philosophy</w:t>
      </w:r>
    </w:p>
    <w:p>
      <w:pPr>
        <w:spacing w:after="0" w:line="178"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 xml:space="preserve">Martin Marietta has a culture dedicated to ethical behavior and responsible corporate activity, which we believe promotes the long-term interests of shareholders. This commitment is reflected in our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xml:space="preserve">, posted and available for public viewing on Martin Marietta’s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 xml:space="preserve">, which set forth a flexible framework within which the Board, assisted by its Committees, directs the affairs of the Company. The </w:t>
      </w:r>
      <w:r>
        <w:rPr>
          <w:rFonts w:ascii="Arial" w:cs="Arial" w:eastAsia="Arial" w:hAnsi="Arial"/>
          <w:sz w:val="18"/>
          <w:szCs w:val="18"/>
          <w:i w:val="1"/>
          <w:iCs w:val="1"/>
          <w:color w:val="auto"/>
        </w:rPr>
        <w:t>Guidelines</w:t>
      </w:r>
      <w:r>
        <w:rPr>
          <w:rFonts w:ascii="Arial" w:cs="Arial" w:eastAsia="Arial" w:hAnsi="Arial"/>
          <w:sz w:val="18"/>
          <w:szCs w:val="18"/>
          <w:color w:val="auto"/>
        </w:rPr>
        <w:t xml:space="preserve"> address, among other things, the composition and functions of the Board of Directors, director qualifications and independence, Chief Executive Officer performance evaluation and management succession, Board Committees and the selection of new Directors.</w:t>
      </w:r>
    </w:p>
    <w:p>
      <w:pPr>
        <w:spacing w:after="0" w:line="13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 xml:space="preserve">Martin Marietta’s </w:t>
      </w:r>
      <w:r>
        <w:rPr>
          <w:rFonts w:ascii="Arial" w:cs="Arial" w:eastAsia="Arial" w:hAnsi="Arial"/>
          <w:sz w:val="18"/>
          <w:szCs w:val="18"/>
          <w:i w:val="1"/>
          <w:iCs w:val="1"/>
          <w:color w:val="auto"/>
        </w:rPr>
        <w:t>Code of Ethical Business Conduct</w:t>
      </w:r>
      <w:r>
        <w:rPr>
          <w:rFonts w:ascii="Arial" w:cs="Arial" w:eastAsia="Arial" w:hAnsi="Arial"/>
          <w:sz w:val="18"/>
          <w:szCs w:val="18"/>
          <w:color w:val="auto"/>
        </w:rPr>
        <w:t xml:space="preserve"> has been in place since the 1980s, and applies to all Board members, officers, and employees, providing our policies and expectations on a number of topics, including our commitment to good citizenship, promoting a positive and safe work environment, avoiding conflicts of interest, honoring the confidentiality of sensitive information, preservation and use of Company assets, compliance with all laws, and operating with integrity in all that we do. To implement the </w:t>
      </w:r>
      <w:r>
        <w:rPr>
          <w:rFonts w:ascii="Arial" w:cs="Arial" w:eastAsia="Arial" w:hAnsi="Arial"/>
          <w:sz w:val="18"/>
          <w:szCs w:val="18"/>
          <w:i w:val="1"/>
          <w:iCs w:val="1"/>
          <w:color w:val="auto"/>
        </w:rPr>
        <w:t>Code of Ethical Business Conduct</w:t>
      </w:r>
      <w:r>
        <w:rPr>
          <w:rFonts w:ascii="Arial" w:cs="Arial" w:eastAsia="Arial" w:hAnsi="Arial"/>
          <w:sz w:val="18"/>
          <w:szCs w:val="18"/>
          <w:color w:val="auto"/>
        </w:rPr>
        <w:t xml:space="preserve">, Board members, officers, and employees participate regularly in ethics training. There have been no waivers from any provisions of our </w:t>
      </w:r>
      <w:r>
        <w:rPr>
          <w:rFonts w:ascii="Arial" w:cs="Arial" w:eastAsia="Arial" w:hAnsi="Arial"/>
          <w:sz w:val="18"/>
          <w:szCs w:val="18"/>
          <w:i w:val="1"/>
          <w:iCs w:val="1"/>
          <w:color w:val="auto"/>
        </w:rPr>
        <w:t>Code of Ethical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Conduct </w:t>
      </w:r>
      <w:r>
        <w:rPr>
          <w:rFonts w:ascii="Arial" w:cs="Arial" w:eastAsia="Arial" w:hAnsi="Arial"/>
          <w:sz w:val="18"/>
          <w:szCs w:val="18"/>
          <w:color w:val="auto"/>
        </w:rPr>
        <w:t>to any Board member or executive officer.</w:t>
      </w:r>
    </w:p>
    <w:p>
      <w:pPr>
        <w:spacing w:after="0" w:line="15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addition, the Board believes that accountability to shareholders is a mark of good governance and critical to Martin Marietta’s success. To that end, management regularly engages with shareholders on a variety of topics throughout the year to ensure we are addressing their questions and concerns, to seek input and to provide perspective on Company policies and practices.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provides a snapshot of Martin Marietta’s governance highlights.</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940" w:type="dxa"/>
            <w:vAlign w:val="bottom"/>
            <w:tcBorders>
              <w:left w:val="single" w:sz="8" w:color="47829E"/>
            </w:tcBorders>
            <w:shd w:val="clear" w:color="auto" w:fill="47829E"/>
          </w:tcPr>
          <w:p>
            <w:pPr>
              <w:spacing w:after="0"/>
              <w:rPr>
                <w:sz w:val="18"/>
                <w:szCs w:val="18"/>
                <w:color w:val="auto"/>
              </w:rPr>
            </w:pPr>
          </w:p>
        </w:tc>
        <w:tc>
          <w:tcPr>
            <w:tcW w:w="4160" w:type="dxa"/>
            <w:vAlign w:val="bottom"/>
            <w:shd w:val="clear" w:color="auto" w:fill="47829E"/>
          </w:tcPr>
          <w:p>
            <w:pPr>
              <w:ind w:left="580"/>
              <w:spacing w:after="0"/>
              <w:rPr>
                <w:sz w:val="20"/>
                <w:szCs w:val="20"/>
                <w:color w:val="auto"/>
              </w:rPr>
            </w:pPr>
            <w:r>
              <w:rPr>
                <w:rFonts w:ascii="Arial" w:cs="Arial" w:eastAsia="Arial" w:hAnsi="Arial"/>
                <w:sz w:val="18"/>
                <w:szCs w:val="18"/>
                <w:b w:val="1"/>
                <w:bCs w:val="1"/>
                <w:color w:val="FFFFFF"/>
              </w:rPr>
              <w:t>GOVERNANCE HIGHLIGHTS</w:t>
            </w:r>
          </w:p>
        </w:tc>
        <w:tc>
          <w:tcPr>
            <w:tcW w:w="3340" w:type="dxa"/>
            <w:vAlign w:val="bottom"/>
            <w:tcBorders>
              <w:right w:val="single" w:sz="8" w:color="47829E"/>
            </w:tcBorders>
            <w:shd w:val="clear" w:color="auto" w:fill="47829E"/>
          </w:tcPr>
          <w:p>
            <w:pPr>
              <w:spacing w:after="0"/>
              <w:rPr>
                <w:sz w:val="18"/>
                <w:szCs w:val="18"/>
                <w:color w:val="auto"/>
              </w:rPr>
            </w:pPr>
          </w:p>
        </w:tc>
      </w:tr>
      <w:tr>
        <w:trPr>
          <w:trHeight w:val="206"/>
        </w:trPr>
        <w:tc>
          <w:tcPr>
            <w:tcW w:w="3940" w:type="dxa"/>
            <w:vAlign w:val="bottom"/>
            <w:tcBorders>
              <w:left w:val="single" w:sz="8" w:color="47829E"/>
            </w:tcBorders>
          </w:tcPr>
          <w:p>
            <w:pPr>
              <w:ind w:left="120"/>
              <w:spacing w:after="0" w:line="206" w:lineRule="exact"/>
              <w:rPr>
                <w:sz w:val="20"/>
                <w:szCs w:val="20"/>
                <w:color w:val="auto"/>
              </w:rPr>
            </w:pPr>
            <w:r>
              <w:rPr>
                <w:rFonts w:ascii="Arial" w:cs="Arial" w:eastAsia="Arial" w:hAnsi="Arial"/>
                <w:sz w:val="18"/>
                <w:szCs w:val="18"/>
                <w:color w:val="auto"/>
              </w:rPr>
              <w:t>Nine out of 10 directors are non-employees;</w:t>
            </w:r>
          </w:p>
        </w:tc>
        <w:tc>
          <w:tcPr>
            <w:tcW w:w="4160" w:type="dxa"/>
            <w:vAlign w:val="bottom"/>
          </w:tcPr>
          <w:p>
            <w:pPr>
              <w:ind w:left="380"/>
              <w:spacing w:after="0" w:line="206" w:lineRule="exact"/>
              <w:rPr>
                <w:sz w:val="20"/>
                <w:szCs w:val="20"/>
                <w:color w:val="auto"/>
              </w:rPr>
            </w:pPr>
            <w:r>
              <w:rPr>
                <w:rFonts w:ascii="Arial" w:cs="Arial" w:eastAsia="Arial" w:hAnsi="Arial"/>
                <w:sz w:val="18"/>
                <w:szCs w:val="18"/>
                <w:color w:val="auto"/>
              </w:rPr>
              <w:t>Regular Board and Committee self-</w:t>
            </w:r>
          </w:p>
        </w:tc>
        <w:tc>
          <w:tcPr>
            <w:tcW w:w="3340" w:type="dxa"/>
            <w:vAlign w:val="bottom"/>
            <w:tcBorders>
              <w:right w:val="single" w:sz="8" w:color="47829E"/>
            </w:tcBorders>
          </w:tcPr>
          <w:p>
            <w:pPr>
              <w:ind w:left="420"/>
              <w:spacing w:after="0" w:line="206" w:lineRule="exact"/>
              <w:rPr>
                <w:sz w:val="20"/>
                <w:szCs w:val="20"/>
                <w:color w:val="auto"/>
              </w:rPr>
            </w:pPr>
            <w:r>
              <w:rPr>
                <w:rFonts w:ascii="Arial" w:cs="Arial" w:eastAsia="Arial" w:hAnsi="Arial"/>
                <w:sz w:val="18"/>
                <w:szCs w:val="18"/>
                <w:color w:val="auto"/>
              </w:rPr>
              <w:t>Code of Ethical Business Conduct</w:t>
            </w:r>
          </w:p>
        </w:tc>
      </w:tr>
      <w:tr>
        <w:trPr>
          <w:trHeight w:val="199"/>
        </w:trPr>
        <w:tc>
          <w:tcPr>
            <w:tcW w:w="3940" w:type="dxa"/>
            <w:vAlign w:val="bottom"/>
            <w:tcBorders>
              <w:left w:val="single" w:sz="8" w:color="47829E"/>
            </w:tcBorders>
          </w:tcPr>
          <w:p>
            <w:pPr>
              <w:ind w:left="120"/>
              <w:spacing w:after="0" w:line="200" w:lineRule="exact"/>
              <w:rPr>
                <w:sz w:val="20"/>
                <w:szCs w:val="20"/>
                <w:color w:val="auto"/>
              </w:rPr>
            </w:pPr>
            <w:r>
              <w:rPr>
                <w:rFonts w:ascii="Arial" w:cs="Arial" w:eastAsia="Arial" w:hAnsi="Arial"/>
                <w:sz w:val="18"/>
                <w:szCs w:val="18"/>
                <w:color w:val="auto"/>
              </w:rPr>
              <w:t>eight out of 10 directors are independent</w:t>
            </w:r>
          </w:p>
        </w:tc>
        <w:tc>
          <w:tcPr>
            <w:tcW w:w="4160" w:type="dxa"/>
            <w:vAlign w:val="bottom"/>
          </w:tcPr>
          <w:p>
            <w:pPr>
              <w:ind w:left="380"/>
              <w:spacing w:after="0" w:line="200" w:lineRule="exact"/>
              <w:rPr>
                <w:sz w:val="20"/>
                <w:szCs w:val="20"/>
                <w:color w:val="auto"/>
              </w:rPr>
            </w:pPr>
            <w:r>
              <w:rPr>
                <w:rFonts w:ascii="Arial" w:cs="Arial" w:eastAsia="Arial" w:hAnsi="Arial"/>
                <w:sz w:val="18"/>
                <w:szCs w:val="18"/>
                <w:color w:val="auto"/>
              </w:rPr>
              <w:t>evaluations</w:t>
            </w:r>
          </w:p>
        </w:tc>
        <w:tc>
          <w:tcPr>
            <w:tcW w:w="3340" w:type="dxa"/>
            <w:vAlign w:val="bottom"/>
            <w:tcBorders>
              <w:right w:val="single" w:sz="8" w:color="47829E"/>
            </w:tcBorders>
          </w:tcPr>
          <w:p>
            <w:pPr>
              <w:spacing w:after="0"/>
              <w:rPr>
                <w:sz w:val="17"/>
                <w:szCs w:val="17"/>
                <w:color w:val="auto"/>
              </w:rPr>
            </w:pPr>
          </w:p>
        </w:tc>
      </w:tr>
      <w:tr>
        <w:trPr>
          <w:trHeight w:val="206"/>
        </w:trPr>
        <w:tc>
          <w:tcPr>
            <w:tcW w:w="3940" w:type="dxa"/>
            <w:vAlign w:val="bottom"/>
            <w:tcBorders>
              <w:left w:val="single" w:sz="8" w:color="47829E"/>
            </w:tcBorders>
            <w:shd w:val="clear" w:color="auto" w:fill="E3ECF0"/>
          </w:tcPr>
          <w:p>
            <w:pPr>
              <w:ind w:left="120"/>
              <w:spacing w:after="0" w:line="206" w:lineRule="exact"/>
              <w:rPr>
                <w:sz w:val="20"/>
                <w:szCs w:val="20"/>
                <w:color w:val="auto"/>
              </w:rPr>
            </w:pPr>
            <w:r>
              <w:rPr>
                <w:rFonts w:ascii="Arial" w:cs="Arial" w:eastAsia="Arial" w:hAnsi="Arial"/>
                <w:sz w:val="18"/>
                <w:szCs w:val="18"/>
                <w:color w:val="auto"/>
              </w:rPr>
              <w:t>Lead Independent Director</w:t>
            </w:r>
          </w:p>
        </w:tc>
        <w:tc>
          <w:tcPr>
            <w:tcW w:w="4160" w:type="dxa"/>
            <w:vAlign w:val="bottom"/>
            <w:shd w:val="clear" w:color="auto" w:fill="E3ECF0"/>
          </w:tcPr>
          <w:p>
            <w:pPr>
              <w:ind w:left="380"/>
              <w:spacing w:after="0" w:line="206" w:lineRule="exact"/>
              <w:rPr>
                <w:sz w:val="20"/>
                <w:szCs w:val="20"/>
                <w:color w:val="auto"/>
              </w:rPr>
            </w:pPr>
            <w:r>
              <w:rPr>
                <w:rFonts w:ascii="Arial" w:cs="Arial" w:eastAsia="Arial" w:hAnsi="Arial"/>
                <w:sz w:val="18"/>
                <w:szCs w:val="18"/>
                <w:color w:val="auto"/>
              </w:rPr>
              <w:t>Long-standing active shareholder</w:t>
            </w:r>
          </w:p>
        </w:tc>
        <w:tc>
          <w:tcPr>
            <w:tcW w:w="3340" w:type="dxa"/>
            <w:vAlign w:val="bottom"/>
            <w:tcBorders>
              <w:right w:val="single" w:sz="8" w:color="47829E"/>
            </w:tcBorders>
            <w:shd w:val="clear" w:color="auto" w:fill="E3ECF0"/>
          </w:tcPr>
          <w:p>
            <w:pPr>
              <w:ind w:left="420"/>
              <w:spacing w:after="0" w:line="206" w:lineRule="exact"/>
              <w:rPr>
                <w:sz w:val="20"/>
                <w:szCs w:val="20"/>
                <w:color w:val="auto"/>
              </w:rPr>
            </w:pPr>
            <w:r>
              <w:rPr>
                <w:rFonts w:ascii="Arial" w:cs="Arial" w:eastAsia="Arial" w:hAnsi="Arial"/>
                <w:sz w:val="18"/>
                <w:szCs w:val="18"/>
                <w:color w:val="auto"/>
              </w:rPr>
              <w:t>A confidential ethics hotline</w:t>
            </w:r>
          </w:p>
        </w:tc>
      </w:tr>
      <w:tr>
        <w:trPr>
          <w:trHeight w:val="199"/>
        </w:trPr>
        <w:tc>
          <w:tcPr>
            <w:tcW w:w="3940" w:type="dxa"/>
            <w:vAlign w:val="bottom"/>
            <w:tcBorders>
              <w:left w:val="single" w:sz="8" w:color="47829E"/>
            </w:tcBorders>
            <w:shd w:val="clear" w:color="auto" w:fill="E3ECF0"/>
          </w:tcPr>
          <w:p>
            <w:pPr>
              <w:spacing w:after="0"/>
              <w:rPr>
                <w:sz w:val="17"/>
                <w:szCs w:val="17"/>
                <w:color w:val="auto"/>
              </w:rPr>
            </w:pPr>
          </w:p>
        </w:tc>
        <w:tc>
          <w:tcPr>
            <w:tcW w:w="4160" w:type="dxa"/>
            <w:vAlign w:val="bottom"/>
            <w:shd w:val="clear" w:color="auto" w:fill="E3ECF0"/>
          </w:tcPr>
          <w:p>
            <w:pPr>
              <w:ind w:left="380"/>
              <w:spacing w:after="0" w:line="200" w:lineRule="exact"/>
              <w:rPr>
                <w:sz w:val="20"/>
                <w:szCs w:val="20"/>
                <w:color w:val="auto"/>
              </w:rPr>
            </w:pPr>
            <w:r>
              <w:rPr>
                <w:rFonts w:ascii="Arial" w:cs="Arial" w:eastAsia="Arial" w:hAnsi="Arial"/>
                <w:sz w:val="18"/>
                <w:szCs w:val="18"/>
                <w:color w:val="auto"/>
              </w:rPr>
              <w:t>engagement</w:t>
            </w:r>
          </w:p>
        </w:tc>
        <w:tc>
          <w:tcPr>
            <w:tcW w:w="3340" w:type="dxa"/>
            <w:vAlign w:val="bottom"/>
            <w:tcBorders>
              <w:right w:val="single" w:sz="8" w:color="47829E"/>
            </w:tcBorders>
            <w:shd w:val="clear" w:color="auto" w:fill="E3ECF0"/>
          </w:tcPr>
          <w:p>
            <w:pPr>
              <w:spacing w:after="0"/>
              <w:rPr>
                <w:sz w:val="17"/>
                <w:szCs w:val="17"/>
                <w:color w:val="auto"/>
              </w:rPr>
            </w:pPr>
          </w:p>
        </w:tc>
      </w:tr>
      <w:tr>
        <w:trPr>
          <w:trHeight w:val="206"/>
        </w:trPr>
        <w:tc>
          <w:tcPr>
            <w:tcW w:w="3940" w:type="dxa"/>
            <w:vAlign w:val="bottom"/>
            <w:tcBorders>
              <w:left w:val="single" w:sz="8" w:color="47829E"/>
            </w:tcBorders>
          </w:tcPr>
          <w:p>
            <w:pPr>
              <w:ind w:left="120"/>
              <w:spacing w:after="0" w:line="206" w:lineRule="exact"/>
              <w:rPr>
                <w:sz w:val="20"/>
                <w:szCs w:val="20"/>
                <w:color w:val="auto"/>
              </w:rPr>
            </w:pPr>
            <w:r>
              <w:rPr>
                <w:rFonts w:ascii="Arial" w:cs="Arial" w:eastAsia="Arial" w:hAnsi="Arial"/>
                <w:sz w:val="18"/>
                <w:szCs w:val="18"/>
                <w:color w:val="auto"/>
              </w:rPr>
              <w:t>Independent audit, compensation and</w:t>
            </w:r>
          </w:p>
        </w:tc>
        <w:tc>
          <w:tcPr>
            <w:tcW w:w="4160" w:type="dxa"/>
            <w:vAlign w:val="bottom"/>
          </w:tcPr>
          <w:p>
            <w:pPr>
              <w:ind w:left="380"/>
              <w:spacing w:after="0" w:line="206" w:lineRule="exact"/>
              <w:rPr>
                <w:sz w:val="20"/>
                <w:szCs w:val="20"/>
                <w:color w:val="auto"/>
              </w:rPr>
            </w:pPr>
            <w:r>
              <w:rPr>
                <w:rFonts w:ascii="Arial" w:cs="Arial" w:eastAsia="Arial" w:hAnsi="Arial"/>
                <w:sz w:val="18"/>
                <w:szCs w:val="18"/>
                <w:color w:val="auto"/>
              </w:rPr>
              <w:t>Executive compensation driven by pay-for-</w:t>
            </w:r>
          </w:p>
        </w:tc>
        <w:tc>
          <w:tcPr>
            <w:tcW w:w="3340" w:type="dxa"/>
            <w:vAlign w:val="bottom"/>
            <w:tcBorders>
              <w:right w:val="single" w:sz="8" w:color="47829E"/>
            </w:tcBorders>
          </w:tcPr>
          <w:p>
            <w:pPr>
              <w:ind w:left="420"/>
              <w:spacing w:after="0" w:line="206" w:lineRule="exact"/>
              <w:rPr>
                <w:sz w:val="20"/>
                <w:szCs w:val="20"/>
                <w:color w:val="auto"/>
              </w:rPr>
            </w:pPr>
            <w:r>
              <w:rPr>
                <w:rFonts w:ascii="Arial" w:cs="Arial" w:eastAsia="Arial" w:hAnsi="Arial"/>
                <w:sz w:val="18"/>
                <w:szCs w:val="18"/>
                <w:color w:val="auto"/>
              </w:rPr>
              <w:t>Risk oversight by full Board</w:t>
            </w:r>
          </w:p>
        </w:tc>
      </w:tr>
      <w:tr>
        <w:trPr>
          <w:trHeight w:val="199"/>
        </w:trPr>
        <w:tc>
          <w:tcPr>
            <w:tcW w:w="3940" w:type="dxa"/>
            <w:vAlign w:val="bottom"/>
            <w:tcBorders>
              <w:left w:val="single" w:sz="8" w:color="47829E"/>
            </w:tcBorders>
          </w:tcPr>
          <w:p>
            <w:pPr>
              <w:ind w:left="120"/>
              <w:spacing w:after="0" w:line="200" w:lineRule="exact"/>
              <w:rPr>
                <w:sz w:val="20"/>
                <w:szCs w:val="20"/>
                <w:color w:val="auto"/>
              </w:rPr>
            </w:pPr>
            <w:r>
              <w:rPr>
                <w:rFonts w:ascii="Arial" w:cs="Arial" w:eastAsia="Arial" w:hAnsi="Arial"/>
                <w:sz w:val="18"/>
                <w:szCs w:val="18"/>
                <w:color w:val="auto"/>
              </w:rPr>
              <w:t>governance Committees</w:t>
            </w:r>
          </w:p>
        </w:tc>
        <w:tc>
          <w:tcPr>
            <w:tcW w:w="4160" w:type="dxa"/>
            <w:vAlign w:val="bottom"/>
          </w:tcPr>
          <w:p>
            <w:pPr>
              <w:ind w:left="380"/>
              <w:spacing w:after="0" w:line="200" w:lineRule="exact"/>
              <w:rPr>
                <w:sz w:val="20"/>
                <w:szCs w:val="20"/>
                <w:color w:val="auto"/>
              </w:rPr>
            </w:pPr>
            <w:r>
              <w:rPr>
                <w:rFonts w:ascii="Arial" w:cs="Arial" w:eastAsia="Arial" w:hAnsi="Arial"/>
                <w:sz w:val="18"/>
                <w:szCs w:val="18"/>
                <w:color w:val="auto"/>
              </w:rPr>
              <w:t>performance</w:t>
            </w:r>
          </w:p>
        </w:tc>
        <w:tc>
          <w:tcPr>
            <w:tcW w:w="3340" w:type="dxa"/>
            <w:vAlign w:val="bottom"/>
            <w:tcBorders>
              <w:right w:val="single" w:sz="8" w:color="47829E"/>
            </w:tcBorders>
          </w:tcPr>
          <w:p>
            <w:pPr>
              <w:ind w:left="420"/>
              <w:spacing w:after="0" w:line="200" w:lineRule="exact"/>
              <w:rPr>
                <w:sz w:val="20"/>
                <w:szCs w:val="20"/>
                <w:color w:val="auto"/>
              </w:rPr>
            </w:pPr>
            <w:r>
              <w:rPr>
                <w:rFonts w:ascii="Arial" w:cs="Arial" w:eastAsia="Arial" w:hAnsi="Arial"/>
                <w:sz w:val="18"/>
                <w:szCs w:val="18"/>
                <w:color w:val="auto"/>
              </w:rPr>
              <w:t>and Committees</w:t>
            </w:r>
          </w:p>
        </w:tc>
      </w:tr>
      <w:tr>
        <w:trPr>
          <w:trHeight w:val="206"/>
        </w:trPr>
        <w:tc>
          <w:tcPr>
            <w:tcW w:w="3940" w:type="dxa"/>
            <w:vAlign w:val="bottom"/>
            <w:tcBorders>
              <w:left w:val="single" w:sz="8" w:color="47829E"/>
            </w:tcBorders>
            <w:shd w:val="clear" w:color="auto" w:fill="E3ECF0"/>
          </w:tcPr>
          <w:p>
            <w:pPr>
              <w:ind w:left="120"/>
              <w:spacing w:after="0" w:line="206" w:lineRule="exact"/>
              <w:rPr>
                <w:sz w:val="20"/>
                <w:szCs w:val="20"/>
                <w:color w:val="auto"/>
              </w:rPr>
            </w:pPr>
            <w:r>
              <w:rPr>
                <w:rFonts w:ascii="Arial" w:cs="Arial" w:eastAsia="Arial" w:hAnsi="Arial"/>
                <w:sz w:val="18"/>
                <w:szCs w:val="18"/>
                <w:color w:val="auto"/>
              </w:rPr>
              <w:t>Independent Chair for key Committees</w:t>
            </w:r>
          </w:p>
        </w:tc>
        <w:tc>
          <w:tcPr>
            <w:tcW w:w="4160" w:type="dxa"/>
            <w:vAlign w:val="bottom"/>
            <w:shd w:val="clear" w:color="auto" w:fill="E3ECF0"/>
          </w:tcPr>
          <w:p>
            <w:pPr>
              <w:ind w:left="380"/>
              <w:spacing w:after="0" w:line="206" w:lineRule="exact"/>
              <w:rPr>
                <w:sz w:val="20"/>
                <w:szCs w:val="20"/>
                <w:color w:val="auto"/>
              </w:rPr>
            </w:pPr>
            <w:r>
              <w:rPr>
                <w:rFonts w:ascii="Arial" w:cs="Arial" w:eastAsia="Arial" w:hAnsi="Arial"/>
                <w:sz w:val="18"/>
                <w:szCs w:val="18"/>
                <w:color w:val="auto"/>
              </w:rPr>
              <w:t>Regular executive sessions of independent</w:t>
            </w:r>
          </w:p>
        </w:tc>
        <w:tc>
          <w:tcPr>
            <w:tcW w:w="3340" w:type="dxa"/>
            <w:vAlign w:val="bottom"/>
            <w:tcBorders>
              <w:right w:val="single" w:sz="8" w:color="47829E"/>
            </w:tcBorders>
            <w:shd w:val="clear" w:color="auto" w:fill="E3ECF0"/>
          </w:tcPr>
          <w:p>
            <w:pPr>
              <w:ind w:left="420"/>
              <w:spacing w:after="0" w:line="206" w:lineRule="exact"/>
              <w:rPr>
                <w:sz w:val="20"/>
                <w:szCs w:val="20"/>
                <w:color w:val="auto"/>
              </w:rPr>
            </w:pPr>
            <w:r>
              <w:rPr>
                <w:rFonts w:ascii="Arial" w:cs="Arial" w:eastAsia="Arial" w:hAnsi="Arial"/>
                <w:sz w:val="18"/>
                <w:szCs w:val="18"/>
                <w:color w:val="auto"/>
              </w:rPr>
              <w:t>Majority voting for Directors</w:t>
            </w:r>
          </w:p>
        </w:tc>
      </w:tr>
      <w:tr>
        <w:trPr>
          <w:trHeight w:val="199"/>
        </w:trPr>
        <w:tc>
          <w:tcPr>
            <w:tcW w:w="3940" w:type="dxa"/>
            <w:vAlign w:val="bottom"/>
            <w:tcBorders>
              <w:left w:val="single" w:sz="8" w:color="47829E"/>
              <w:bottom w:val="single" w:sz="8" w:color="47829E"/>
            </w:tcBorders>
            <w:shd w:val="clear" w:color="auto" w:fill="E3ECF0"/>
          </w:tcPr>
          <w:p>
            <w:pPr>
              <w:spacing w:after="0"/>
              <w:rPr>
                <w:sz w:val="17"/>
                <w:szCs w:val="17"/>
                <w:color w:val="auto"/>
              </w:rPr>
            </w:pPr>
          </w:p>
        </w:tc>
        <w:tc>
          <w:tcPr>
            <w:tcW w:w="4160" w:type="dxa"/>
            <w:vAlign w:val="bottom"/>
            <w:tcBorders>
              <w:bottom w:val="single" w:sz="8" w:color="47829E"/>
            </w:tcBorders>
            <w:shd w:val="clear" w:color="auto" w:fill="E3ECF0"/>
          </w:tcPr>
          <w:p>
            <w:pPr>
              <w:ind w:left="380"/>
              <w:spacing w:after="0" w:line="200" w:lineRule="exact"/>
              <w:rPr>
                <w:sz w:val="20"/>
                <w:szCs w:val="20"/>
                <w:color w:val="auto"/>
              </w:rPr>
            </w:pPr>
            <w:r>
              <w:rPr>
                <w:rFonts w:ascii="Arial" w:cs="Arial" w:eastAsia="Arial" w:hAnsi="Arial"/>
                <w:sz w:val="18"/>
                <w:szCs w:val="18"/>
                <w:color w:val="auto"/>
              </w:rPr>
              <w:t>Directors</w:t>
            </w:r>
          </w:p>
        </w:tc>
        <w:tc>
          <w:tcPr>
            <w:tcW w:w="3340" w:type="dxa"/>
            <w:vAlign w:val="bottom"/>
            <w:tcBorders>
              <w:bottom w:val="single" w:sz="8" w:color="47829E"/>
              <w:right w:val="single" w:sz="8" w:color="47829E"/>
            </w:tcBorders>
            <w:shd w:val="clear" w:color="auto" w:fill="E3ECF0"/>
          </w:tcPr>
          <w:p>
            <w:pPr>
              <w:spacing w:after="0"/>
              <w:rPr>
                <w:sz w:val="17"/>
                <w:szCs w:val="17"/>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Martin Marietta’s Independent Directors?</w:t>
      </w:r>
    </w:p>
    <w:p>
      <w:pPr>
        <w:spacing w:after="0" w:line="17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All of Martin Marietta’s Directors are non-employee Directors except Mr. Nye. Mr. Nye does not sit in the executive sessions of the independent Directors unless invited to attend for a specific discussion nor does he participate in any action of the Board relating to any executive compensation plan in which he may participate.</w:t>
      </w:r>
    </w:p>
    <w:p>
      <w:pPr>
        <w:spacing w:after="0" w:line="13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 xml:space="preserve">In assessing the independence of its members, the Board has adopted for Martin Marietta a set of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 xml:space="preserve"> . The Guidelines are posted and available for public viewing on Martin Marietta’s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 These Guidelines reflect the rules of the New York Stock Exchange, applicable requirements of the SEC, and other standards determined by the Board to be important in assessing the independence of Board members. The Board has determined that all members of the Board, except Mr. Nye and Mr. Zelnak, are “independent” under these Guidelines, resulting in more than two-thirds of the Board being independent. The Board of Directors has determined that no Director (except Mr. Nye and Mr. Zelnak), or any person or organization with which the Director has any affiliation, has a relationship with Martin Marietta that may interfere with the Director’s independence from Martin Marietta and its management.</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40"/>
          </w:cols>
          <w:pgMar w:left="240" w:top="256" w:right="219" w:bottom="1440" w:gutter="0" w:footer="0" w:header="0"/>
        </w:sectPr>
      </w:pPr>
    </w:p>
    <w:bookmarkStart w:id="18" w:name="page19"/>
    <w:bookmarkEnd w:id="18"/>
    <w:p>
      <w:pPr>
        <w:jc w:val="both"/>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making this “independence” determination, the Board considered other entities with which the Directors were affiliated and any business Martin Marietta had done with such entities. In that regard, Mr. Vinroot is a member of the law firm of Robinson, Bradshaw &amp; Hinson, P.A. located in Charlotte, North Carolina, which provided certain legal services to Martin Marietta in 2014. Mr. Vinroot did not work on any of the legal matters for Martin Marietta. The amount of fees paid to Robinson, Bradshaw &amp; Hinson, P.A. for such services in 2014 was approximately $201,000, representing less than 0.05% of the firm’s total revenues for the last fiscal year. Accordingly, the Board determined that Mr. Vinroot’s relationship with Martin Marietta, directly and as a partner of Robinson, Bradshaw &amp; Hinson, P.A., was not material for purposes of the independence determination.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 the independent Directors ever meet without management?</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Martin Marietta’s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xml:space="preserve"> adopted by the Board provide that at least two Board meetings each year will include an executive session of the non-employee Directors to discuss such topics as they may choose, including a discussion of the performance of Martin Marietta’s Chairman and its Chief Executive Officer. In 2014, Martin Marietta’s non-employee Directors met four times in executive session without management, in addition to executive sessions held by committees of the Board. In addition, at least once a year the independent Directors meet in executive session.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Board’s leadership structure?</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The Board of Directors elected Mr. Nye as Chairman of the Board effective June 2014. This change to add the responsibility of Chairman to Mr. Nye’s position completes the orderly succession process overseen by the Board of Directors. Our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provide that the Board’s policy as to whether the Chairman and Chief Executive Officer positions should be separate is to adopt the practice that best serves the Company’s needs at any particular time. The Nominating and Governance Committee and the Board discussed board leadership alternatives on a number of occasions during 2013 and 2014 before deciding to recombine the Chairman and Chief Executive Officer roles. As a result of Mr. Nye’s long tenure at Martin Marietta, including four years as President and Chief Operating Officer and five years as President and Chief Executive Officer, the Board believes he is uniquely qualified through his experience, education and expertise to be the person who promotes strong and visionary leadership for our Board as well as important recognition as the leader of Martin Marietta by our customers, employees and other constituencies. The Board also believes that Mr. Nye’s serving as both Chairman and Chief Executive Officer is appropriate taking into consideration the size and nature of our business, Mr. Nye’s effective and careful formulation and execution of our strategic plan, Mr. Nye’s established working relationship and open communication with our other directors, both during meetings and in the intervals between meetings, the significant board-level experience of our independent directors as a whole, the strong independent leadership and accountability to shareholders provided by 80% of our directors being independent, the independent leadership provided by our Committee chairs, and our Board culture in which Mr. Nye and the other directors are able to thoughtfully debate different points of view and reach consensus in an efficient manner.</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Does the Board have a Lead Independent Director?</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deciding that a combined Chairman and Chief Executive Officer position is the appropriate leadership structure for the Company at this time, the Nominating and Corporate Governance Committee and Board also recognized the benefit of independent leadership to enhance the effectiveness of the Board’s oversight role and communications between the Board and Mr. Nye. Accordingly, in November 2014, our </w:t>
      </w:r>
      <w:r>
        <w:rPr>
          <w:rFonts w:ascii="Arial" w:cs="Arial" w:eastAsia="Arial" w:hAnsi="Arial"/>
          <w:sz w:val="18"/>
          <w:szCs w:val="18"/>
          <w:i w:val="1"/>
          <w:iCs w:val="1"/>
          <w:color w:val="auto"/>
        </w:rPr>
        <w:t>Corporate Governance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Guidelines </w:t>
      </w:r>
      <w:r>
        <w:rPr>
          <w:rFonts w:ascii="Arial" w:cs="Arial" w:eastAsia="Arial" w:hAnsi="Arial"/>
          <w:sz w:val="18"/>
          <w:szCs w:val="18"/>
          <w:color w:val="auto"/>
        </w:rPr>
        <w:t>were revised to provide that in the event the Chairman and Chief Executive Officer positions are held by one person, our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designate a Lead Independent Director from among the independent directors. The designation of the Lead Independent Director is to be made annually, although with the expectation of the Board that the Lead Independent Director will be re-appointed for multiple, consecutive one-year terms. Michael J. Quillen was designated as the Lead Independent Director. The responsibilities of the Lead Independent Director include:</w:t>
      </w:r>
    </w:p>
    <w:p>
      <w:pPr>
        <w:spacing w:after="0" w:line="195"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Presiding at Board meetings when the Chairman is not present.</w:t>
      </w:r>
    </w:p>
    <w:p>
      <w:pPr>
        <w:spacing w:after="0" w:line="76"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Presiding at executive sessions of the non-management directors with or without the attendance of the Chairman, and meeting separately with the Chairman after executive sessions to review the matters discussed during the executive sessions.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Acting as a liaison between the Chairman and the independent Directors.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91" w:right="239" w:bottom="1440" w:gutter="0" w:footer="0" w:header="0"/>
        </w:sectPr>
      </w:pPr>
    </w:p>
    <w:bookmarkStart w:id="19" w:name="page20"/>
    <w:bookmarkEnd w:id="19"/>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Suggesting to the Chairman agenda items for Board meetings and consulting with the Chairman regarding Board meeting schedules.</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Calling, where necessary, meetings of independent directors and executive sessions.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Being available to meet with shareholders and other key constituents.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Acting as a resource for, and counsel to, the Chairman.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Board’s role in risk oversight?</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Board currently has eight independent members and only two non-independent members, Mr. Nye and Mr. Zelnak. A number of our independent Board members are serving or have served as members of senior management of other public companies, have served as directors of other public companies, and otherwise have experience and/or educational backgrounds that we believe qualify them to effectively assess risk. Each of our Board Committees, including our Audit, Management Development and Compensation, and Nominating and Corporate Governance Committees, are comprised solely of independent Directors, each with a different independent Director serving as Chair of the Committee (other than the Executive Committee, which does not meet on a regular basis).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Board has overall responsibility for oversight of risk management. The Board believes that an effective risk management system will (1) timely identify the material risks that Martin Marietta faces, (2) communicate necessary information with respect to material risks to senior executives and, as appropriate, to the Board or relevant Board Committee, (3) determine whether the risk is excessive or appropriate under the circumstances and designed to achieve a legitimate corporate goal, (4) implement risk management responses consistent with Martin Marietta’s risk profile, and (5) integrate risk management into Martin Marietta’s decision-making.</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Board delegates certain responsibilities to Board Committees to assist in fulfilling its risk oversight responsibilities. Each of the Committees reports regularly to the full Board of Directors as to actions taken and topics discussed. In addition, the Board reviews with management regularly the most significant risks facing Martin Marietta, the probabilities of those risks occurring, the steps taken to mitigate any impact of risks, and management’s general risk management strategy. In addition, the Board encourages management to promote a corporate culture that incorporates risk management into Martin Marietta’s day-to-day operations.</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Board has designated the Audit Committee to take the lead in overseeing risks related to financial reporting, financial statements, internal control environment, internal audit, independent audit, and accounting processes. The Finance Committee evaluates risks associated with Martin Marietta’s capital structure, including credit and liquidity risks. The Management Development and Compensation Committee oversees aspects of risk related to the annual performance evaluation of our Chief Executive Officer, succession planning and ensuring that executive compensation is appropriate to meet Martin Marietta’s objectives. That Committee’s assessment of the design features of our executive compensation program that reduce the risk of excessive risk-taking are discussed in the Compensation Discussion and Analysis on pages 32-33. The Nominating and Corporate Governance Committee oversees aspects of risk related to the composition of the Board and its Committees, Board performance and best practices in corporate governance. The Ethics, Environment, Safety and Health Committee monitors risks in the areas of Martin Marietta’s ethics program, health, safety, and the environment.</w:t>
      </w:r>
    </w:p>
    <w:p>
      <w:pPr>
        <w:spacing w:after="0" w:line="16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While the Board oversees Martin Marietta’s risk management, the executive officers are responsible for the day-to-day risk management processes. We believe this division of responsibilities is the most effective approach for addressing the risks facing our Company and is appropriate whether the positions of Chairman and Chief Executive Officer are separate or held by the same individual.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would interested parties make their concerns known to the independent Directors?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Board of Directors provides a process for shareholders and other interested parties to send communications to the Board. Shareholders and other interested parties may communicate anonymously and confidentially with the Board through Martin Marietta’s Ethics Hotline at 1-800-209-4508. The Board has also designated the Corporate Secretary to facilitate communications to the Board. Shareholders and other interested parties may communicate directly with the Board of Directors, or directly with non-management Directors, or an individual Director, including the Lead Independent Director, by writing to Martin Marietta, Attn: Corporate Secretary, 2710 Wycliff Road, Raleigh, North Carolina 27607-3033.</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91" w:right="239" w:bottom="1440" w:gutter="0" w:footer="0" w:header="0"/>
        </w:sectPr>
      </w:pPr>
    </w:p>
    <w:bookmarkStart w:id="20" w:name="page21"/>
    <w:bookmarkEnd w:id="20"/>
    <w:p>
      <w:pPr>
        <w:jc w:val="both"/>
        <w:ind w:right="2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communications by shareholders or other interested parties addressed to the Board will be sent directly to Board members. While Martin Marietta’s Ethics Office and the Corporate Secretary may review, sort, and summarize these communications, all direct communications will be presented to the non-management Directors unless there is instruction from them to filter such communications (and in such event, any communication that has been filtered out will be made available to any non-management Director who wishes to review it).</w:t>
      </w:r>
    </w:p>
    <w:p>
      <w:pPr>
        <w:spacing w:after="0" w:line="15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 xml:space="preserve">Martin Marietta and its Board of Directors will continue to review and evaluate the process by which shareholders or other interested persons communicate with Martin Marietta and the Board and may adopt other or further processes and procedures in this regard. If so, Martin Marietta will identify those policies and procedures on its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often did the Board meet during 2014?</w:t>
      </w:r>
    </w:p>
    <w:p>
      <w:pPr>
        <w:spacing w:after="0" w:line="17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Martin Marietta’s Board of Directors held seven meetings during 2014, five of which were regularly scheduled meetings and two of which were special meetings. There were also a total of 25 committee meetings in 2014. In addition, management confers frequently with its Directors on an informal basis to discuss Company affairs.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times did Directors attend meetings of the Board and its Committees?</w:t>
      </w:r>
    </w:p>
    <w:p>
      <w:pPr>
        <w:spacing w:after="0" w:line="17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2014, all Directors attended at least 75% of the meetings of the Board of Directors. All directors attended at least 75% of the meetings of the committees of the Board on which they served (during the periods that they served).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the Directors attend the Annual Meeting?</w:t>
      </w:r>
    </w:p>
    <w:p>
      <w:pPr>
        <w:spacing w:after="0" w:line="178"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Martin Marietta’s Directors are expected to attend Martin Marietta’s Annual Meeting of Shareholders. In 2014, all Directors attended the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Directors compensated?</w:t>
      </w:r>
    </w:p>
    <w:p>
      <w:pPr>
        <w:spacing w:after="0" w:line="178"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 xml:space="preserve">A table showing the compensation paid by Martin Marietta to the individuals serving as Directors in 2014, other than Mr. Nye, is included in the section of this proxy statement entitled “DIRECTOR COMPENSATION – </w:t>
      </w:r>
      <w:r>
        <w:rPr>
          <w:rFonts w:ascii="Arial" w:cs="Arial" w:eastAsia="Arial" w:hAnsi="Arial"/>
          <w:sz w:val="18"/>
          <w:szCs w:val="18"/>
          <w:i w:val="1"/>
          <w:iCs w:val="1"/>
          <w:color w:val="auto"/>
        </w:rPr>
        <w:t>Director Compensation Table.</w:t>
      </w:r>
      <w:r>
        <w:rPr>
          <w:rFonts w:ascii="Arial" w:cs="Arial" w:eastAsia="Arial" w:hAnsi="Arial"/>
          <w:sz w:val="18"/>
          <w:szCs w:val="18"/>
          <w:color w:val="auto"/>
        </w:rPr>
        <w:t>” Mr. Nye’s compensation as an executive officer of Martin Marietta is shown in the section entitled “EXECUTIVE COMPENSATION” and he received no additional compensation for service as a Director.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Committees has the Board established?</w:t>
      </w:r>
    </w:p>
    <w:p>
      <w:pPr>
        <w:spacing w:after="0" w:line="17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Martin Marietta’s Board of Directors has six standing committees: the Audit Committee, the Ethics, Environment, Safety and Health Committee, the Executive Committee, the Finance Committee, the Management Development and Compensation Committee, and the Nominating and Corporate Governance Committee.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committee structure and membership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747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97790</wp:posOffset>
            </wp:positionV>
            <wp:extent cx="7747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97790</wp:posOffset>
            </wp:positionV>
            <wp:extent cx="7747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137160"/>
                    </a:xfrm>
                    <a:prstGeom prst="rect">
                      <a:avLst/>
                    </a:prstGeom>
                    <a:noFill/>
                  </pic:spPr>
                </pic:pic>
              </a:graphicData>
            </a:graphic>
          </wp:anchor>
        </w:drawing>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040" w:type="dxa"/>
            <w:vAlign w:val="bottom"/>
          </w:tcPr>
          <w:p>
            <w:pPr>
              <w:ind w:left="280"/>
              <w:spacing w:after="0"/>
              <w:rPr>
                <w:sz w:val="20"/>
                <w:szCs w:val="20"/>
                <w:color w:val="auto"/>
              </w:rPr>
            </w:pPr>
            <w:r>
              <w:rPr>
                <w:rFonts w:ascii="Arial" w:cs="Arial" w:eastAsia="Arial" w:hAnsi="Arial"/>
                <w:sz w:val="18"/>
                <w:szCs w:val="18"/>
                <w:color w:val="auto"/>
              </w:rPr>
              <w:t>Lead Director</w:t>
            </w:r>
          </w:p>
        </w:tc>
        <w:tc>
          <w:tcPr>
            <w:tcW w:w="2240" w:type="dxa"/>
            <w:vAlign w:val="bottom"/>
          </w:tcPr>
          <w:p>
            <w:pPr>
              <w:ind w:left="580"/>
              <w:spacing w:after="0"/>
              <w:rPr>
                <w:sz w:val="20"/>
                <w:szCs w:val="20"/>
                <w:color w:val="auto"/>
              </w:rPr>
            </w:pPr>
            <w:r>
              <w:rPr>
                <w:rFonts w:ascii="Arial" w:cs="Arial" w:eastAsia="Arial" w:hAnsi="Arial"/>
                <w:sz w:val="18"/>
                <w:szCs w:val="18"/>
                <w:color w:val="auto"/>
              </w:rPr>
              <w:t>Chairperson</w:t>
            </w:r>
          </w:p>
        </w:tc>
        <w:tc>
          <w:tcPr>
            <w:tcW w:w="1880" w:type="dxa"/>
            <w:vAlign w:val="bottom"/>
            <w:gridSpan w:val="2"/>
          </w:tcPr>
          <w:p>
            <w:pPr>
              <w:ind w:left="680"/>
              <w:spacing w:after="0"/>
              <w:rPr>
                <w:sz w:val="20"/>
                <w:szCs w:val="20"/>
                <w:color w:val="auto"/>
              </w:rPr>
            </w:pPr>
            <w:r>
              <w:rPr>
                <w:rFonts w:ascii="Arial" w:cs="Arial" w:eastAsia="Arial" w:hAnsi="Arial"/>
                <w:sz w:val="18"/>
                <w:szCs w:val="18"/>
                <w:color w:val="auto"/>
              </w:rPr>
              <w:t>Member</w:t>
            </w:r>
          </w:p>
        </w:tc>
        <w:tc>
          <w:tcPr>
            <w:tcW w:w="2140" w:type="dxa"/>
            <w:vAlign w:val="bottom"/>
            <w:gridSpan w:val="2"/>
          </w:tcPr>
          <w:p>
            <w:pPr>
              <w:jc w:val="right"/>
              <w:ind w:right="52"/>
              <w:spacing w:after="0"/>
              <w:rPr>
                <w:sz w:val="20"/>
                <w:szCs w:val="20"/>
                <w:color w:val="auto"/>
              </w:rPr>
            </w:pPr>
            <w:r>
              <w:rPr>
                <w:rFonts w:ascii="Arial" w:cs="Arial" w:eastAsia="Arial" w:hAnsi="Arial"/>
                <w:sz w:val="18"/>
                <w:szCs w:val="18"/>
                <w:color w:val="auto"/>
              </w:rPr>
              <w:t>Financial Expert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56"/>
        </w:trPr>
        <w:tc>
          <w:tcPr>
            <w:tcW w:w="20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145"/>
        </w:trPr>
        <w:tc>
          <w:tcPr>
            <w:tcW w:w="2040" w:type="dxa"/>
            <w:vAlign w:val="bottom"/>
            <w:tcBorders>
              <w:left w:val="single" w:sz="8" w:color="47829E"/>
            </w:tcBorders>
            <w:shd w:val="clear" w:color="auto" w:fill="47829E"/>
          </w:tcPr>
          <w:p>
            <w:pPr>
              <w:spacing w:after="0"/>
              <w:rPr>
                <w:sz w:val="12"/>
                <w:szCs w:val="12"/>
                <w:color w:val="auto"/>
              </w:rPr>
            </w:pPr>
          </w:p>
        </w:tc>
        <w:tc>
          <w:tcPr>
            <w:tcW w:w="2240" w:type="dxa"/>
            <w:vAlign w:val="bottom"/>
            <w:shd w:val="clear" w:color="auto" w:fill="47829E"/>
          </w:tcPr>
          <w:p>
            <w:pPr>
              <w:spacing w:after="0"/>
              <w:rPr>
                <w:sz w:val="12"/>
                <w:szCs w:val="12"/>
                <w:color w:val="auto"/>
              </w:rPr>
            </w:pPr>
          </w:p>
        </w:tc>
        <w:tc>
          <w:tcPr>
            <w:tcW w:w="940" w:type="dxa"/>
            <w:vAlign w:val="bottom"/>
            <w:tcBorders>
              <w:right w:val="single" w:sz="8" w:color="47829E"/>
            </w:tcBorders>
            <w:shd w:val="clear" w:color="auto" w:fill="47829E"/>
          </w:tcPr>
          <w:p>
            <w:pPr>
              <w:spacing w:after="0"/>
              <w:rPr>
                <w:sz w:val="12"/>
                <w:szCs w:val="12"/>
                <w:color w:val="auto"/>
              </w:rPr>
            </w:pPr>
          </w:p>
        </w:tc>
        <w:tc>
          <w:tcPr>
            <w:tcW w:w="940" w:type="dxa"/>
            <w:vAlign w:val="bottom"/>
            <w:tcBorders>
              <w:right w:val="single" w:sz="8" w:color="47829E"/>
            </w:tcBorders>
            <w:shd w:val="clear" w:color="auto" w:fill="47829E"/>
          </w:tcPr>
          <w:p>
            <w:pPr>
              <w:spacing w:after="0"/>
              <w:rPr>
                <w:sz w:val="12"/>
                <w:szCs w:val="12"/>
                <w:color w:val="auto"/>
              </w:rPr>
            </w:pPr>
          </w:p>
        </w:tc>
        <w:tc>
          <w:tcPr>
            <w:tcW w:w="1220" w:type="dxa"/>
            <w:vAlign w:val="bottom"/>
            <w:tcBorders>
              <w:right w:val="single" w:sz="8" w:color="47829E"/>
            </w:tcBorders>
            <w:shd w:val="clear" w:color="auto" w:fill="47829E"/>
          </w:tcPr>
          <w:p>
            <w:pPr>
              <w:spacing w:after="0"/>
              <w:rPr>
                <w:sz w:val="12"/>
                <w:szCs w:val="12"/>
                <w:color w:val="auto"/>
              </w:rPr>
            </w:pPr>
          </w:p>
        </w:tc>
        <w:tc>
          <w:tcPr>
            <w:tcW w:w="920" w:type="dxa"/>
            <w:vAlign w:val="bottom"/>
            <w:tcBorders>
              <w:right w:val="single" w:sz="8" w:color="47829E"/>
            </w:tcBorders>
            <w:shd w:val="clear" w:color="auto" w:fill="47829E"/>
          </w:tcPr>
          <w:p>
            <w:pPr>
              <w:spacing w:after="0"/>
              <w:rPr>
                <w:sz w:val="12"/>
                <w:szCs w:val="12"/>
                <w:color w:val="auto"/>
              </w:rPr>
            </w:pPr>
          </w:p>
        </w:tc>
        <w:tc>
          <w:tcPr>
            <w:tcW w:w="940" w:type="dxa"/>
            <w:vAlign w:val="bottom"/>
            <w:tcBorders>
              <w:right w:val="single" w:sz="8" w:color="47829E"/>
            </w:tcBorders>
            <w:shd w:val="clear" w:color="auto" w:fill="47829E"/>
          </w:tcPr>
          <w:p>
            <w:pPr>
              <w:spacing w:after="0"/>
              <w:rPr>
                <w:sz w:val="12"/>
                <w:szCs w:val="12"/>
                <w:color w:val="auto"/>
              </w:rPr>
            </w:pPr>
          </w:p>
        </w:tc>
        <w:tc>
          <w:tcPr>
            <w:tcW w:w="1080" w:type="dxa"/>
            <w:vAlign w:val="bottom"/>
            <w:tcBorders>
              <w:right w:val="single" w:sz="8" w:color="47829E"/>
            </w:tcBorders>
            <w:shd w:val="clear" w:color="auto" w:fill="47829E"/>
          </w:tcPr>
          <w:p>
            <w:pPr>
              <w:jc w:val="center"/>
              <w:spacing w:after="0" w:line="145" w:lineRule="exact"/>
              <w:rPr>
                <w:sz w:val="20"/>
                <w:szCs w:val="20"/>
                <w:color w:val="auto"/>
              </w:rPr>
            </w:pPr>
            <w:r>
              <w:rPr>
                <w:rFonts w:ascii="Arial" w:cs="Arial" w:eastAsia="Arial" w:hAnsi="Arial"/>
                <w:sz w:val="14"/>
                <w:szCs w:val="14"/>
                <w:b w:val="1"/>
                <w:bCs w:val="1"/>
                <w:color w:val="FFFFFF"/>
                <w:w w:val="98"/>
              </w:rPr>
              <w:t>Management</w:t>
            </w:r>
          </w:p>
        </w:tc>
        <w:tc>
          <w:tcPr>
            <w:tcW w:w="1120" w:type="dxa"/>
            <w:vAlign w:val="bottom"/>
            <w:tcBorders>
              <w:right w:val="single" w:sz="8" w:color="47829E"/>
            </w:tcBorders>
            <w:shd w:val="clear" w:color="auto" w:fill="47829E"/>
          </w:tcPr>
          <w:p>
            <w:pPr>
              <w:spacing w:after="0"/>
              <w:rPr>
                <w:sz w:val="12"/>
                <w:szCs w:val="12"/>
                <w:color w:val="auto"/>
              </w:rPr>
            </w:pPr>
          </w:p>
        </w:tc>
      </w:tr>
      <w:tr>
        <w:trPr>
          <w:trHeight w:val="149"/>
        </w:trPr>
        <w:tc>
          <w:tcPr>
            <w:tcW w:w="2040" w:type="dxa"/>
            <w:vAlign w:val="bottom"/>
            <w:tcBorders>
              <w:left w:val="single" w:sz="8" w:color="47829E"/>
            </w:tcBorders>
            <w:shd w:val="clear" w:color="auto" w:fill="47829E"/>
          </w:tcPr>
          <w:p>
            <w:pPr>
              <w:spacing w:after="0"/>
              <w:rPr>
                <w:sz w:val="12"/>
                <w:szCs w:val="12"/>
                <w:color w:val="auto"/>
              </w:rPr>
            </w:pPr>
          </w:p>
        </w:tc>
        <w:tc>
          <w:tcPr>
            <w:tcW w:w="2240" w:type="dxa"/>
            <w:vAlign w:val="bottom"/>
            <w:shd w:val="clear" w:color="auto" w:fill="47829E"/>
          </w:tcPr>
          <w:p>
            <w:pPr>
              <w:spacing w:after="0"/>
              <w:rPr>
                <w:sz w:val="12"/>
                <w:szCs w:val="12"/>
                <w:color w:val="auto"/>
              </w:rPr>
            </w:pPr>
          </w:p>
        </w:tc>
        <w:tc>
          <w:tcPr>
            <w:tcW w:w="940" w:type="dxa"/>
            <w:vAlign w:val="bottom"/>
            <w:tcBorders>
              <w:right w:val="single" w:sz="8" w:color="47829E"/>
            </w:tcBorders>
            <w:shd w:val="clear" w:color="auto" w:fill="47829E"/>
          </w:tcPr>
          <w:p>
            <w:pPr>
              <w:spacing w:after="0"/>
              <w:rPr>
                <w:sz w:val="12"/>
                <w:szCs w:val="12"/>
                <w:color w:val="auto"/>
              </w:rPr>
            </w:pPr>
          </w:p>
        </w:tc>
        <w:tc>
          <w:tcPr>
            <w:tcW w:w="940" w:type="dxa"/>
            <w:vAlign w:val="bottom"/>
            <w:tcBorders>
              <w:right w:val="single" w:sz="8" w:color="47829E"/>
            </w:tcBorders>
            <w:shd w:val="clear" w:color="auto" w:fill="47829E"/>
          </w:tcPr>
          <w:p>
            <w:pPr>
              <w:spacing w:after="0"/>
              <w:rPr>
                <w:sz w:val="12"/>
                <w:szCs w:val="12"/>
                <w:color w:val="auto"/>
              </w:rPr>
            </w:pPr>
          </w:p>
        </w:tc>
        <w:tc>
          <w:tcPr>
            <w:tcW w:w="122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5"/>
              </w:rPr>
              <w:t>Ethics,</w:t>
            </w:r>
          </w:p>
        </w:tc>
        <w:tc>
          <w:tcPr>
            <w:tcW w:w="920" w:type="dxa"/>
            <w:vAlign w:val="bottom"/>
            <w:tcBorders>
              <w:right w:val="single" w:sz="8" w:color="47829E"/>
            </w:tcBorders>
            <w:shd w:val="clear" w:color="auto" w:fill="47829E"/>
          </w:tcPr>
          <w:p>
            <w:pPr>
              <w:spacing w:after="0"/>
              <w:rPr>
                <w:sz w:val="12"/>
                <w:szCs w:val="12"/>
                <w:color w:val="auto"/>
              </w:rPr>
            </w:pPr>
          </w:p>
        </w:tc>
        <w:tc>
          <w:tcPr>
            <w:tcW w:w="940" w:type="dxa"/>
            <w:vAlign w:val="bottom"/>
            <w:tcBorders>
              <w:right w:val="single" w:sz="8" w:color="47829E"/>
            </w:tcBorders>
            <w:shd w:val="clear" w:color="auto" w:fill="47829E"/>
          </w:tcPr>
          <w:p>
            <w:pPr>
              <w:spacing w:after="0"/>
              <w:rPr>
                <w:sz w:val="12"/>
                <w:szCs w:val="12"/>
                <w:color w:val="auto"/>
              </w:rPr>
            </w:pPr>
          </w:p>
        </w:tc>
        <w:tc>
          <w:tcPr>
            <w:tcW w:w="108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5"/>
              </w:rPr>
              <w:t>Development</w:t>
            </w:r>
          </w:p>
        </w:tc>
        <w:tc>
          <w:tcPr>
            <w:tcW w:w="112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6"/>
              </w:rPr>
              <w:t>Nominating</w:t>
            </w:r>
          </w:p>
        </w:tc>
      </w:tr>
      <w:tr>
        <w:trPr>
          <w:trHeight w:val="149"/>
        </w:trPr>
        <w:tc>
          <w:tcPr>
            <w:tcW w:w="2040" w:type="dxa"/>
            <w:vAlign w:val="bottom"/>
            <w:tcBorders>
              <w:left w:val="single" w:sz="8" w:color="47829E"/>
            </w:tcBorders>
            <w:shd w:val="clear" w:color="auto" w:fill="47829E"/>
          </w:tcPr>
          <w:p>
            <w:pPr>
              <w:spacing w:after="0"/>
              <w:rPr>
                <w:sz w:val="12"/>
                <w:szCs w:val="12"/>
                <w:color w:val="auto"/>
              </w:rPr>
            </w:pPr>
          </w:p>
        </w:tc>
        <w:tc>
          <w:tcPr>
            <w:tcW w:w="2240" w:type="dxa"/>
            <w:vAlign w:val="bottom"/>
            <w:shd w:val="clear" w:color="auto" w:fill="47829E"/>
          </w:tcPr>
          <w:p>
            <w:pPr>
              <w:spacing w:after="0"/>
              <w:rPr>
                <w:sz w:val="12"/>
                <w:szCs w:val="12"/>
                <w:color w:val="auto"/>
              </w:rPr>
            </w:pPr>
          </w:p>
        </w:tc>
        <w:tc>
          <w:tcPr>
            <w:tcW w:w="940" w:type="dxa"/>
            <w:vAlign w:val="bottom"/>
            <w:tcBorders>
              <w:right w:val="single" w:sz="8" w:color="47829E"/>
            </w:tcBorders>
            <w:shd w:val="clear" w:color="auto" w:fill="47829E"/>
          </w:tcPr>
          <w:p>
            <w:pPr>
              <w:spacing w:after="0"/>
              <w:rPr>
                <w:sz w:val="12"/>
                <w:szCs w:val="12"/>
                <w:color w:val="auto"/>
              </w:rPr>
            </w:pPr>
          </w:p>
        </w:tc>
        <w:tc>
          <w:tcPr>
            <w:tcW w:w="940" w:type="dxa"/>
            <w:vAlign w:val="bottom"/>
            <w:tcBorders>
              <w:right w:val="single" w:sz="8" w:color="47829E"/>
            </w:tcBorders>
            <w:shd w:val="clear" w:color="auto" w:fill="47829E"/>
          </w:tcPr>
          <w:p>
            <w:pPr>
              <w:spacing w:after="0"/>
              <w:rPr>
                <w:sz w:val="12"/>
                <w:szCs w:val="12"/>
                <w:color w:val="auto"/>
              </w:rPr>
            </w:pPr>
          </w:p>
        </w:tc>
        <w:tc>
          <w:tcPr>
            <w:tcW w:w="122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6"/>
              </w:rPr>
              <w:t>Environment,</w:t>
            </w:r>
          </w:p>
        </w:tc>
        <w:tc>
          <w:tcPr>
            <w:tcW w:w="920" w:type="dxa"/>
            <w:vAlign w:val="bottom"/>
            <w:tcBorders>
              <w:right w:val="single" w:sz="8" w:color="47829E"/>
            </w:tcBorders>
            <w:shd w:val="clear" w:color="auto" w:fill="47829E"/>
          </w:tcPr>
          <w:p>
            <w:pPr>
              <w:spacing w:after="0"/>
              <w:rPr>
                <w:sz w:val="12"/>
                <w:szCs w:val="12"/>
                <w:color w:val="auto"/>
              </w:rPr>
            </w:pPr>
          </w:p>
        </w:tc>
        <w:tc>
          <w:tcPr>
            <w:tcW w:w="940" w:type="dxa"/>
            <w:vAlign w:val="bottom"/>
            <w:tcBorders>
              <w:right w:val="single" w:sz="8" w:color="47829E"/>
            </w:tcBorders>
            <w:shd w:val="clear" w:color="auto" w:fill="47829E"/>
          </w:tcPr>
          <w:p>
            <w:pPr>
              <w:spacing w:after="0"/>
              <w:rPr>
                <w:sz w:val="12"/>
                <w:szCs w:val="12"/>
                <w:color w:val="auto"/>
              </w:rPr>
            </w:pPr>
          </w:p>
        </w:tc>
        <w:tc>
          <w:tcPr>
            <w:tcW w:w="108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6"/>
              </w:rPr>
              <w:t>and</w:t>
            </w:r>
          </w:p>
        </w:tc>
        <w:tc>
          <w:tcPr>
            <w:tcW w:w="1120" w:type="dxa"/>
            <w:vAlign w:val="bottom"/>
            <w:tcBorders>
              <w:right w:val="single" w:sz="8" w:color="47829E"/>
            </w:tcBorders>
            <w:shd w:val="clear" w:color="auto" w:fill="47829E"/>
          </w:tcPr>
          <w:p>
            <w:pPr>
              <w:jc w:val="center"/>
              <w:ind w:right="12"/>
              <w:spacing w:after="0" w:line="149" w:lineRule="exact"/>
              <w:rPr>
                <w:sz w:val="20"/>
                <w:szCs w:val="20"/>
                <w:color w:val="auto"/>
              </w:rPr>
            </w:pPr>
            <w:r>
              <w:rPr>
                <w:rFonts w:ascii="Arial" w:cs="Arial" w:eastAsia="Arial" w:hAnsi="Arial"/>
                <w:sz w:val="14"/>
                <w:szCs w:val="14"/>
                <w:b w:val="1"/>
                <w:bCs w:val="1"/>
                <w:color w:val="FFFFFF"/>
                <w:w w:val="96"/>
              </w:rPr>
              <w:t>and Corporate</w:t>
            </w:r>
          </w:p>
        </w:tc>
      </w:tr>
      <w:tr>
        <w:trPr>
          <w:trHeight w:val="149"/>
        </w:trPr>
        <w:tc>
          <w:tcPr>
            <w:tcW w:w="2040" w:type="dxa"/>
            <w:vAlign w:val="bottom"/>
            <w:tcBorders>
              <w:left w:val="single" w:sz="8" w:color="47829E"/>
            </w:tcBorders>
            <w:shd w:val="clear" w:color="auto" w:fill="47829E"/>
          </w:tcPr>
          <w:p>
            <w:pPr>
              <w:spacing w:after="0"/>
              <w:rPr>
                <w:sz w:val="12"/>
                <w:szCs w:val="12"/>
                <w:color w:val="auto"/>
              </w:rPr>
            </w:pPr>
          </w:p>
        </w:tc>
        <w:tc>
          <w:tcPr>
            <w:tcW w:w="2240" w:type="dxa"/>
            <w:vAlign w:val="bottom"/>
            <w:shd w:val="clear" w:color="auto" w:fill="47829E"/>
          </w:tcPr>
          <w:p>
            <w:pPr>
              <w:spacing w:after="0"/>
              <w:rPr>
                <w:sz w:val="12"/>
                <w:szCs w:val="12"/>
                <w:color w:val="auto"/>
              </w:rPr>
            </w:pPr>
          </w:p>
        </w:tc>
        <w:tc>
          <w:tcPr>
            <w:tcW w:w="940" w:type="dxa"/>
            <w:vAlign w:val="bottom"/>
            <w:tcBorders>
              <w:right w:val="single" w:sz="8" w:color="47829E"/>
            </w:tcBorders>
            <w:shd w:val="clear" w:color="auto" w:fill="47829E"/>
          </w:tcPr>
          <w:p>
            <w:pPr>
              <w:spacing w:after="0"/>
              <w:rPr>
                <w:sz w:val="12"/>
                <w:szCs w:val="12"/>
                <w:color w:val="auto"/>
              </w:rPr>
            </w:pPr>
          </w:p>
        </w:tc>
        <w:tc>
          <w:tcPr>
            <w:tcW w:w="94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4"/>
              </w:rPr>
              <w:t>Audit</w:t>
            </w:r>
          </w:p>
        </w:tc>
        <w:tc>
          <w:tcPr>
            <w:tcW w:w="122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7"/>
              </w:rPr>
              <w:t>Safety and Health</w:t>
            </w:r>
          </w:p>
        </w:tc>
        <w:tc>
          <w:tcPr>
            <w:tcW w:w="920" w:type="dxa"/>
            <w:vAlign w:val="bottom"/>
            <w:tcBorders>
              <w:right w:val="single" w:sz="8" w:color="47829E"/>
            </w:tcBorders>
            <w:shd w:val="clear" w:color="auto" w:fill="47829E"/>
          </w:tcPr>
          <w:p>
            <w:pPr>
              <w:jc w:val="right"/>
              <w:ind w:right="52"/>
              <w:spacing w:after="0" w:line="149" w:lineRule="exact"/>
              <w:rPr>
                <w:sz w:val="20"/>
                <w:szCs w:val="20"/>
                <w:color w:val="auto"/>
              </w:rPr>
            </w:pPr>
            <w:r>
              <w:rPr>
                <w:rFonts w:ascii="Arial" w:cs="Arial" w:eastAsia="Arial" w:hAnsi="Arial"/>
                <w:sz w:val="14"/>
                <w:szCs w:val="14"/>
                <w:b w:val="1"/>
                <w:bCs w:val="1"/>
                <w:color w:val="FFFFFF"/>
              </w:rPr>
              <w:t>Executive</w:t>
            </w:r>
          </w:p>
        </w:tc>
        <w:tc>
          <w:tcPr>
            <w:tcW w:w="94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4"/>
              </w:rPr>
              <w:t>Finance</w:t>
            </w:r>
          </w:p>
        </w:tc>
        <w:tc>
          <w:tcPr>
            <w:tcW w:w="108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4"/>
              </w:rPr>
              <w:t>Compensation</w:t>
            </w:r>
          </w:p>
        </w:tc>
        <w:tc>
          <w:tcPr>
            <w:tcW w:w="112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6"/>
              </w:rPr>
              <w:t>Governance</w:t>
            </w:r>
          </w:p>
        </w:tc>
      </w:tr>
      <w:tr>
        <w:trPr>
          <w:trHeight w:val="165"/>
        </w:trPr>
        <w:tc>
          <w:tcPr>
            <w:tcW w:w="2040" w:type="dxa"/>
            <w:vAlign w:val="bottom"/>
            <w:tcBorders>
              <w:left w:val="single" w:sz="8" w:color="47829E"/>
            </w:tcBorders>
            <w:shd w:val="clear" w:color="auto" w:fill="47829E"/>
          </w:tcPr>
          <w:p>
            <w:pPr>
              <w:ind w:left="120"/>
              <w:spacing w:after="0"/>
              <w:rPr>
                <w:sz w:val="20"/>
                <w:szCs w:val="20"/>
                <w:color w:val="auto"/>
              </w:rPr>
            </w:pPr>
            <w:r>
              <w:rPr>
                <w:rFonts w:ascii="Arial" w:cs="Arial" w:eastAsia="Arial" w:hAnsi="Arial"/>
                <w:sz w:val="14"/>
                <w:szCs w:val="14"/>
                <w:b w:val="1"/>
                <w:bCs w:val="1"/>
                <w:color w:val="FFFFFF"/>
              </w:rPr>
              <w:t>Director</w:t>
            </w:r>
          </w:p>
        </w:tc>
        <w:tc>
          <w:tcPr>
            <w:tcW w:w="2240" w:type="dxa"/>
            <w:vAlign w:val="bottom"/>
            <w:shd w:val="clear" w:color="auto" w:fill="47829E"/>
          </w:tcPr>
          <w:p>
            <w:pPr>
              <w:spacing w:after="0"/>
              <w:rPr>
                <w:sz w:val="14"/>
                <w:szCs w:val="14"/>
                <w:color w:val="auto"/>
              </w:rPr>
            </w:pPr>
          </w:p>
        </w:tc>
        <w:tc>
          <w:tcPr>
            <w:tcW w:w="940" w:type="dxa"/>
            <w:vAlign w:val="bottom"/>
            <w:tcBorders>
              <w:right w:val="single" w:sz="8" w:color="47829E"/>
            </w:tcBorders>
            <w:shd w:val="clear" w:color="auto" w:fill="47829E"/>
          </w:tcPr>
          <w:p>
            <w:pPr>
              <w:spacing w:after="0"/>
              <w:rPr>
                <w:sz w:val="14"/>
                <w:szCs w:val="14"/>
                <w:color w:val="auto"/>
              </w:rPr>
            </w:pPr>
          </w:p>
        </w:tc>
        <w:tc>
          <w:tcPr>
            <w:tcW w:w="9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96"/>
              </w:rPr>
              <w:t>Committee</w:t>
            </w:r>
          </w:p>
        </w:tc>
        <w:tc>
          <w:tcPr>
            <w:tcW w:w="12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96"/>
              </w:rPr>
              <w:t>Committee</w:t>
            </w:r>
          </w:p>
        </w:tc>
        <w:tc>
          <w:tcPr>
            <w:tcW w:w="920" w:type="dxa"/>
            <w:vAlign w:val="bottom"/>
            <w:tcBorders>
              <w:right w:val="single" w:sz="8" w:color="47829E"/>
            </w:tcBorders>
            <w:shd w:val="clear" w:color="auto" w:fill="47829E"/>
          </w:tcPr>
          <w:p>
            <w:pPr>
              <w:jc w:val="right"/>
              <w:ind w:right="12"/>
              <w:spacing w:after="0"/>
              <w:rPr>
                <w:sz w:val="20"/>
                <w:szCs w:val="20"/>
                <w:color w:val="auto"/>
              </w:rPr>
            </w:pPr>
            <w:r>
              <w:rPr>
                <w:rFonts w:ascii="Arial" w:cs="Arial" w:eastAsia="Arial" w:hAnsi="Arial"/>
                <w:sz w:val="14"/>
                <w:szCs w:val="14"/>
                <w:b w:val="1"/>
                <w:bCs w:val="1"/>
                <w:color w:val="FFFFFF"/>
              </w:rPr>
              <w:t>Committee</w:t>
            </w:r>
          </w:p>
        </w:tc>
        <w:tc>
          <w:tcPr>
            <w:tcW w:w="9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96"/>
              </w:rPr>
              <w:t>Committee</w:t>
            </w:r>
          </w:p>
        </w:tc>
        <w:tc>
          <w:tcPr>
            <w:tcW w:w="10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93"/>
              </w:rPr>
              <w:t>Committee</w:t>
            </w:r>
          </w:p>
        </w:tc>
        <w:tc>
          <w:tcPr>
            <w:tcW w:w="11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96"/>
              </w:rPr>
              <w:t>Committee</w:t>
            </w:r>
          </w:p>
        </w:tc>
      </w:tr>
      <w:tr>
        <w:trPr>
          <w:trHeight w:val="162"/>
        </w:trPr>
        <w:tc>
          <w:tcPr>
            <w:tcW w:w="2040" w:type="dxa"/>
            <w:vAlign w:val="bottom"/>
            <w:tcBorders>
              <w:left w:val="single" w:sz="8" w:color="47829E"/>
            </w:tcBorders>
            <w:shd w:val="clear" w:color="auto" w:fill="E3ECF0"/>
          </w:tcPr>
          <w:p>
            <w:pPr>
              <w:ind w:left="120"/>
              <w:spacing w:after="0"/>
              <w:rPr>
                <w:sz w:val="20"/>
                <w:szCs w:val="20"/>
                <w:color w:val="auto"/>
              </w:rPr>
            </w:pPr>
            <w:r>
              <w:rPr>
                <w:rFonts w:ascii="Arial" w:cs="Arial" w:eastAsia="Arial" w:hAnsi="Arial"/>
                <w:sz w:val="14"/>
                <w:szCs w:val="14"/>
                <w:color w:val="auto"/>
              </w:rPr>
              <w:t>Sue W. Cole</w:t>
            </w:r>
          </w:p>
        </w:tc>
        <w:tc>
          <w:tcPr>
            <w:tcW w:w="2240" w:type="dxa"/>
            <w:vAlign w:val="bottom"/>
            <w:shd w:val="clear" w:color="auto" w:fill="E3ECF0"/>
          </w:tcPr>
          <w:p>
            <w:pPr>
              <w:spacing w:after="0"/>
              <w:rPr>
                <w:sz w:val="14"/>
                <w:szCs w:val="14"/>
                <w:color w:val="auto"/>
              </w:rPr>
            </w:pPr>
          </w:p>
        </w:tc>
        <w:tc>
          <w:tcPr>
            <w:tcW w:w="940" w:type="dxa"/>
            <w:vAlign w:val="bottom"/>
            <w:tcBorders>
              <w:right w:val="single" w:sz="8" w:color="47829E"/>
            </w:tcBorders>
            <w:shd w:val="clear" w:color="auto" w:fill="E3ECF0"/>
          </w:tcPr>
          <w:p>
            <w:pPr>
              <w:spacing w:after="0"/>
              <w:rPr>
                <w:sz w:val="14"/>
                <w:szCs w:val="14"/>
                <w:color w:val="auto"/>
              </w:rPr>
            </w:pPr>
          </w:p>
        </w:tc>
        <w:tc>
          <w:tcPr>
            <w:tcW w:w="940" w:type="dxa"/>
            <w:vAlign w:val="bottom"/>
            <w:tcBorders>
              <w:right w:val="single" w:sz="8" w:color="47829E"/>
            </w:tcBorders>
            <w:shd w:val="clear" w:color="auto" w:fill="E3ECF0"/>
          </w:tcPr>
          <w:p>
            <w:pPr>
              <w:spacing w:after="0"/>
              <w:rPr>
                <w:sz w:val="14"/>
                <w:szCs w:val="14"/>
                <w:color w:val="auto"/>
              </w:rPr>
            </w:pPr>
          </w:p>
        </w:tc>
        <w:tc>
          <w:tcPr>
            <w:tcW w:w="1220" w:type="dxa"/>
            <w:vAlign w:val="bottom"/>
            <w:tcBorders>
              <w:right w:val="single" w:sz="8" w:color="47829E"/>
            </w:tcBorders>
            <w:shd w:val="clear" w:color="auto" w:fill="E3ECF0"/>
          </w:tcPr>
          <w:p>
            <w:pPr>
              <w:spacing w:after="0"/>
              <w:rPr>
                <w:sz w:val="14"/>
                <w:szCs w:val="14"/>
                <w:color w:val="auto"/>
              </w:rPr>
            </w:pPr>
          </w:p>
        </w:tc>
        <w:tc>
          <w:tcPr>
            <w:tcW w:w="920" w:type="dxa"/>
            <w:vAlign w:val="bottom"/>
            <w:tcBorders>
              <w:right w:val="single" w:sz="8" w:color="47829E"/>
            </w:tcBorders>
            <w:shd w:val="clear" w:color="auto" w:fill="E3ECF0"/>
          </w:tcPr>
          <w:p>
            <w:pPr>
              <w:spacing w:after="0"/>
              <w:rPr>
                <w:sz w:val="14"/>
                <w:szCs w:val="14"/>
                <w:color w:val="auto"/>
              </w:rPr>
            </w:pPr>
          </w:p>
        </w:tc>
        <w:tc>
          <w:tcPr>
            <w:tcW w:w="940" w:type="dxa"/>
            <w:vAlign w:val="bottom"/>
            <w:tcBorders>
              <w:right w:val="single" w:sz="8" w:color="47829E"/>
            </w:tcBorders>
            <w:shd w:val="clear" w:color="auto" w:fill="E3ECF0"/>
          </w:tcPr>
          <w:p>
            <w:pPr>
              <w:spacing w:after="0"/>
              <w:rPr>
                <w:sz w:val="14"/>
                <w:szCs w:val="14"/>
                <w:color w:val="auto"/>
              </w:rPr>
            </w:pPr>
          </w:p>
        </w:tc>
        <w:tc>
          <w:tcPr>
            <w:tcW w:w="1080" w:type="dxa"/>
            <w:vAlign w:val="bottom"/>
            <w:tcBorders>
              <w:right w:val="single" w:sz="8" w:color="47829E"/>
            </w:tcBorders>
            <w:shd w:val="clear" w:color="auto" w:fill="E3ECF0"/>
          </w:tcPr>
          <w:p>
            <w:pPr>
              <w:spacing w:after="0"/>
              <w:rPr>
                <w:sz w:val="14"/>
                <w:szCs w:val="14"/>
                <w:color w:val="auto"/>
              </w:rPr>
            </w:pPr>
          </w:p>
        </w:tc>
        <w:tc>
          <w:tcPr>
            <w:tcW w:w="1120" w:type="dxa"/>
            <w:vAlign w:val="bottom"/>
            <w:tcBorders>
              <w:right w:val="single" w:sz="8" w:color="47829E"/>
            </w:tcBorders>
            <w:shd w:val="clear" w:color="auto" w:fill="E3ECF0"/>
          </w:tcPr>
          <w:p>
            <w:pPr>
              <w:spacing w:after="0"/>
              <w:rPr>
                <w:sz w:val="14"/>
                <w:szCs w:val="14"/>
                <w:color w:val="auto"/>
              </w:rPr>
            </w:pPr>
          </w:p>
        </w:tc>
      </w:tr>
      <w:tr>
        <w:trPr>
          <w:trHeight w:val="108"/>
        </w:trPr>
        <w:tc>
          <w:tcPr>
            <w:tcW w:w="2040" w:type="dxa"/>
            <w:vAlign w:val="bottom"/>
            <w:tcBorders>
              <w:left w:val="single" w:sz="8" w:color="47829E"/>
            </w:tcBorders>
            <w:shd w:val="clear" w:color="auto" w:fill="E3ECF0"/>
          </w:tcPr>
          <w:p>
            <w:pPr>
              <w:spacing w:after="0"/>
              <w:rPr>
                <w:sz w:val="9"/>
                <w:szCs w:val="9"/>
                <w:color w:val="auto"/>
              </w:rPr>
            </w:pPr>
          </w:p>
        </w:tc>
        <w:tc>
          <w:tcPr>
            <w:tcW w:w="2240" w:type="dxa"/>
            <w:vAlign w:val="bottom"/>
            <w:shd w:val="clear" w:color="auto" w:fill="E3ECF0"/>
          </w:tcPr>
          <w:p>
            <w:pPr>
              <w:spacing w:after="0"/>
              <w:rPr>
                <w:sz w:val="9"/>
                <w:szCs w:val="9"/>
                <w:color w:val="auto"/>
              </w:rPr>
            </w:pPr>
          </w:p>
        </w:tc>
        <w:tc>
          <w:tcPr>
            <w:tcW w:w="940" w:type="dxa"/>
            <w:vAlign w:val="bottom"/>
            <w:tcBorders>
              <w:right w:val="single" w:sz="8" w:color="47829E"/>
            </w:tcBorders>
            <w:shd w:val="clear" w:color="auto" w:fill="E3ECF0"/>
          </w:tcPr>
          <w:p>
            <w:pPr>
              <w:spacing w:after="0"/>
              <w:rPr>
                <w:sz w:val="9"/>
                <w:szCs w:val="9"/>
                <w:color w:val="auto"/>
              </w:rPr>
            </w:pPr>
          </w:p>
        </w:tc>
        <w:tc>
          <w:tcPr>
            <w:tcW w:w="940" w:type="dxa"/>
            <w:vAlign w:val="bottom"/>
            <w:tcBorders>
              <w:right w:val="single" w:sz="8" w:color="47829E"/>
            </w:tcBorders>
            <w:shd w:val="clear" w:color="auto" w:fill="E3ECF0"/>
          </w:tcPr>
          <w:p>
            <w:pPr>
              <w:spacing w:after="0"/>
              <w:rPr>
                <w:sz w:val="9"/>
                <w:szCs w:val="9"/>
                <w:color w:val="auto"/>
              </w:rPr>
            </w:pPr>
          </w:p>
        </w:tc>
        <w:tc>
          <w:tcPr>
            <w:tcW w:w="1220" w:type="dxa"/>
            <w:vAlign w:val="bottom"/>
            <w:tcBorders>
              <w:right w:val="single" w:sz="8" w:color="47829E"/>
            </w:tcBorders>
            <w:shd w:val="clear" w:color="auto" w:fill="E3ECF0"/>
          </w:tcPr>
          <w:p>
            <w:pPr>
              <w:spacing w:after="0"/>
              <w:rPr>
                <w:sz w:val="9"/>
                <w:szCs w:val="9"/>
                <w:color w:val="auto"/>
              </w:rPr>
            </w:pPr>
          </w:p>
        </w:tc>
        <w:tc>
          <w:tcPr>
            <w:tcW w:w="920" w:type="dxa"/>
            <w:vAlign w:val="bottom"/>
            <w:tcBorders>
              <w:right w:val="single" w:sz="8" w:color="47829E"/>
            </w:tcBorders>
            <w:shd w:val="clear" w:color="auto" w:fill="E3ECF0"/>
          </w:tcPr>
          <w:p>
            <w:pPr>
              <w:spacing w:after="0"/>
              <w:rPr>
                <w:sz w:val="9"/>
                <w:szCs w:val="9"/>
                <w:color w:val="auto"/>
              </w:rPr>
            </w:pPr>
          </w:p>
        </w:tc>
        <w:tc>
          <w:tcPr>
            <w:tcW w:w="940" w:type="dxa"/>
            <w:vAlign w:val="bottom"/>
            <w:tcBorders>
              <w:right w:val="single" w:sz="8" w:color="47829E"/>
            </w:tcBorders>
            <w:shd w:val="clear" w:color="auto" w:fill="E3ECF0"/>
          </w:tcPr>
          <w:p>
            <w:pPr>
              <w:spacing w:after="0"/>
              <w:rPr>
                <w:sz w:val="9"/>
                <w:szCs w:val="9"/>
                <w:color w:val="auto"/>
              </w:rPr>
            </w:pPr>
          </w:p>
        </w:tc>
        <w:tc>
          <w:tcPr>
            <w:tcW w:w="1080" w:type="dxa"/>
            <w:vAlign w:val="bottom"/>
            <w:tcBorders>
              <w:right w:val="single" w:sz="8" w:color="47829E"/>
            </w:tcBorders>
            <w:shd w:val="clear" w:color="auto" w:fill="E3ECF0"/>
          </w:tcPr>
          <w:p>
            <w:pPr>
              <w:spacing w:after="0"/>
              <w:rPr>
                <w:sz w:val="9"/>
                <w:szCs w:val="9"/>
                <w:color w:val="auto"/>
              </w:rPr>
            </w:pPr>
          </w:p>
        </w:tc>
        <w:tc>
          <w:tcPr>
            <w:tcW w:w="1120" w:type="dxa"/>
            <w:vAlign w:val="bottom"/>
            <w:tcBorders>
              <w:right w:val="single" w:sz="8" w:color="47829E"/>
            </w:tcBorders>
            <w:shd w:val="clear" w:color="auto" w:fill="E3ECF0"/>
          </w:tcPr>
          <w:p>
            <w:pPr>
              <w:spacing w:after="0"/>
              <w:rPr>
                <w:sz w:val="9"/>
                <w:szCs w:val="9"/>
                <w:color w:val="auto"/>
              </w:rPr>
            </w:pPr>
          </w:p>
        </w:tc>
      </w:tr>
      <w:tr>
        <w:trPr>
          <w:trHeight w:val="189"/>
        </w:trPr>
        <w:tc>
          <w:tcPr>
            <w:tcW w:w="2040" w:type="dxa"/>
            <w:vAlign w:val="bottom"/>
            <w:tcBorders>
              <w:left w:val="single" w:sz="8" w:color="47829E"/>
            </w:tcBorders>
          </w:tcPr>
          <w:p>
            <w:pPr>
              <w:ind w:left="120"/>
              <w:spacing w:after="0"/>
              <w:rPr>
                <w:sz w:val="20"/>
                <w:szCs w:val="20"/>
                <w:color w:val="auto"/>
              </w:rPr>
            </w:pPr>
            <w:r>
              <w:rPr>
                <w:rFonts w:ascii="Arial" w:cs="Arial" w:eastAsia="Arial" w:hAnsi="Arial"/>
                <w:sz w:val="14"/>
                <w:szCs w:val="14"/>
                <w:color w:val="auto"/>
              </w:rPr>
              <w:t>David G. Maffucci</w:t>
            </w:r>
          </w:p>
        </w:tc>
        <w:tc>
          <w:tcPr>
            <w:tcW w:w="2240" w:type="dxa"/>
            <w:vAlign w:val="bottom"/>
          </w:tcPr>
          <w:p>
            <w:pPr>
              <w:spacing w:after="0"/>
              <w:rPr>
                <w:sz w:val="16"/>
                <w:szCs w:val="16"/>
                <w:color w:val="auto"/>
              </w:rPr>
            </w:pPr>
          </w:p>
        </w:tc>
        <w:tc>
          <w:tcPr>
            <w:tcW w:w="940" w:type="dxa"/>
            <w:vAlign w:val="bottom"/>
            <w:tcBorders>
              <w:right w:val="single" w:sz="8" w:color="47829E"/>
            </w:tcBorders>
          </w:tcPr>
          <w:p>
            <w:pPr>
              <w:spacing w:after="0"/>
              <w:rPr>
                <w:sz w:val="16"/>
                <w:szCs w:val="16"/>
                <w:color w:val="auto"/>
              </w:rPr>
            </w:pPr>
          </w:p>
        </w:tc>
        <w:tc>
          <w:tcPr>
            <w:tcW w:w="940" w:type="dxa"/>
            <w:vAlign w:val="bottom"/>
            <w:tcBorders>
              <w:right w:val="single" w:sz="8" w:color="47829E"/>
            </w:tcBorders>
          </w:tcPr>
          <w:p>
            <w:pPr>
              <w:spacing w:after="0"/>
              <w:rPr>
                <w:sz w:val="16"/>
                <w:szCs w:val="16"/>
                <w:color w:val="auto"/>
              </w:rPr>
            </w:pPr>
          </w:p>
        </w:tc>
        <w:tc>
          <w:tcPr>
            <w:tcW w:w="1220" w:type="dxa"/>
            <w:vAlign w:val="bottom"/>
            <w:tcBorders>
              <w:right w:val="single" w:sz="8" w:color="47829E"/>
            </w:tcBorders>
          </w:tcPr>
          <w:p>
            <w:pPr>
              <w:spacing w:after="0"/>
              <w:rPr>
                <w:sz w:val="16"/>
                <w:szCs w:val="16"/>
                <w:color w:val="auto"/>
              </w:rPr>
            </w:pPr>
          </w:p>
        </w:tc>
        <w:tc>
          <w:tcPr>
            <w:tcW w:w="920" w:type="dxa"/>
            <w:vAlign w:val="bottom"/>
            <w:tcBorders>
              <w:right w:val="single" w:sz="8" w:color="47829E"/>
            </w:tcBorders>
          </w:tcPr>
          <w:p>
            <w:pPr>
              <w:spacing w:after="0"/>
              <w:rPr>
                <w:sz w:val="16"/>
                <w:szCs w:val="16"/>
                <w:color w:val="auto"/>
              </w:rPr>
            </w:pPr>
          </w:p>
        </w:tc>
        <w:tc>
          <w:tcPr>
            <w:tcW w:w="940" w:type="dxa"/>
            <w:vAlign w:val="bottom"/>
            <w:tcBorders>
              <w:right w:val="single" w:sz="8" w:color="47829E"/>
            </w:tcBorders>
          </w:tcPr>
          <w:p>
            <w:pPr>
              <w:spacing w:after="0"/>
              <w:rPr>
                <w:sz w:val="16"/>
                <w:szCs w:val="16"/>
                <w:color w:val="auto"/>
              </w:rPr>
            </w:pPr>
          </w:p>
        </w:tc>
        <w:tc>
          <w:tcPr>
            <w:tcW w:w="1080" w:type="dxa"/>
            <w:vAlign w:val="bottom"/>
            <w:tcBorders>
              <w:right w:val="single" w:sz="8" w:color="47829E"/>
            </w:tcBorders>
          </w:tcPr>
          <w:p>
            <w:pPr>
              <w:spacing w:after="0"/>
              <w:rPr>
                <w:sz w:val="16"/>
                <w:szCs w:val="16"/>
                <w:color w:val="auto"/>
              </w:rPr>
            </w:pPr>
          </w:p>
        </w:tc>
        <w:tc>
          <w:tcPr>
            <w:tcW w:w="1120" w:type="dxa"/>
            <w:vAlign w:val="bottom"/>
            <w:tcBorders>
              <w:right w:val="single" w:sz="8" w:color="47829E"/>
            </w:tcBorders>
          </w:tcPr>
          <w:p>
            <w:pPr>
              <w:spacing w:after="0"/>
              <w:rPr>
                <w:sz w:val="16"/>
                <w:szCs w:val="16"/>
                <w:color w:val="auto"/>
              </w:rPr>
            </w:pPr>
          </w:p>
        </w:tc>
      </w:tr>
      <w:tr>
        <w:trPr>
          <w:trHeight w:val="82"/>
        </w:trPr>
        <w:tc>
          <w:tcPr>
            <w:tcW w:w="2040" w:type="dxa"/>
            <w:vAlign w:val="bottom"/>
            <w:tcBorders>
              <w:left w:val="single" w:sz="8" w:color="47829E"/>
            </w:tcBorders>
          </w:tcPr>
          <w:p>
            <w:pPr>
              <w:spacing w:after="0"/>
              <w:rPr>
                <w:sz w:val="7"/>
                <w:szCs w:val="7"/>
                <w:color w:val="auto"/>
              </w:rPr>
            </w:pPr>
          </w:p>
        </w:tc>
        <w:tc>
          <w:tcPr>
            <w:tcW w:w="2240" w:type="dxa"/>
            <w:vAlign w:val="bottom"/>
          </w:tcPr>
          <w:p>
            <w:pPr>
              <w:spacing w:after="0"/>
              <w:rPr>
                <w:sz w:val="7"/>
                <w:szCs w:val="7"/>
                <w:color w:val="auto"/>
              </w:rPr>
            </w:pPr>
          </w:p>
        </w:tc>
        <w:tc>
          <w:tcPr>
            <w:tcW w:w="940" w:type="dxa"/>
            <w:vAlign w:val="bottom"/>
            <w:tcBorders>
              <w:right w:val="single" w:sz="8" w:color="47829E"/>
            </w:tcBorders>
          </w:tcPr>
          <w:p>
            <w:pPr>
              <w:spacing w:after="0"/>
              <w:rPr>
                <w:sz w:val="7"/>
                <w:szCs w:val="7"/>
                <w:color w:val="auto"/>
              </w:rPr>
            </w:pPr>
          </w:p>
        </w:tc>
        <w:tc>
          <w:tcPr>
            <w:tcW w:w="940" w:type="dxa"/>
            <w:vAlign w:val="bottom"/>
            <w:tcBorders>
              <w:right w:val="single" w:sz="8" w:color="47829E"/>
            </w:tcBorders>
          </w:tcPr>
          <w:p>
            <w:pPr>
              <w:spacing w:after="0"/>
              <w:rPr>
                <w:sz w:val="7"/>
                <w:szCs w:val="7"/>
                <w:color w:val="auto"/>
              </w:rPr>
            </w:pPr>
          </w:p>
        </w:tc>
        <w:tc>
          <w:tcPr>
            <w:tcW w:w="1220" w:type="dxa"/>
            <w:vAlign w:val="bottom"/>
            <w:tcBorders>
              <w:right w:val="single" w:sz="8" w:color="47829E"/>
            </w:tcBorders>
          </w:tcPr>
          <w:p>
            <w:pPr>
              <w:spacing w:after="0"/>
              <w:rPr>
                <w:sz w:val="7"/>
                <w:szCs w:val="7"/>
                <w:color w:val="auto"/>
              </w:rPr>
            </w:pPr>
          </w:p>
        </w:tc>
        <w:tc>
          <w:tcPr>
            <w:tcW w:w="920" w:type="dxa"/>
            <w:vAlign w:val="bottom"/>
            <w:tcBorders>
              <w:right w:val="single" w:sz="8" w:color="47829E"/>
            </w:tcBorders>
          </w:tcPr>
          <w:p>
            <w:pPr>
              <w:spacing w:after="0"/>
              <w:rPr>
                <w:sz w:val="7"/>
                <w:szCs w:val="7"/>
                <w:color w:val="auto"/>
              </w:rPr>
            </w:pPr>
          </w:p>
        </w:tc>
        <w:tc>
          <w:tcPr>
            <w:tcW w:w="940" w:type="dxa"/>
            <w:vAlign w:val="bottom"/>
            <w:tcBorders>
              <w:right w:val="single" w:sz="8" w:color="47829E"/>
            </w:tcBorders>
          </w:tcPr>
          <w:p>
            <w:pPr>
              <w:spacing w:after="0"/>
              <w:rPr>
                <w:sz w:val="7"/>
                <w:szCs w:val="7"/>
                <w:color w:val="auto"/>
              </w:rPr>
            </w:pPr>
          </w:p>
        </w:tc>
        <w:tc>
          <w:tcPr>
            <w:tcW w:w="1080" w:type="dxa"/>
            <w:vAlign w:val="bottom"/>
            <w:tcBorders>
              <w:right w:val="single" w:sz="8" w:color="47829E"/>
            </w:tcBorders>
          </w:tcPr>
          <w:p>
            <w:pPr>
              <w:spacing w:after="0"/>
              <w:rPr>
                <w:sz w:val="7"/>
                <w:szCs w:val="7"/>
                <w:color w:val="auto"/>
              </w:rPr>
            </w:pPr>
          </w:p>
        </w:tc>
        <w:tc>
          <w:tcPr>
            <w:tcW w:w="1120" w:type="dxa"/>
            <w:vAlign w:val="bottom"/>
            <w:tcBorders>
              <w:right w:val="single" w:sz="8" w:color="47829E"/>
            </w:tcBorders>
          </w:tcPr>
          <w:p>
            <w:pPr>
              <w:spacing w:after="0"/>
              <w:rPr>
                <w:sz w:val="7"/>
                <w:szCs w:val="7"/>
                <w:color w:val="auto"/>
              </w:rPr>
            </w:pPr>
          </w:p>
        </w:tc>
      </w:tr>
      <w:tr>
        <w:trPr>
          <w:trHeight w:val="162"/>
        </w:trPr>
        <w:tc>
          <w:tcPr>
            <w:tcW w:w="2040" w:type="dxa"/>
            <w:vAlign w:val="bottom"/>
            <w:tcBorders>
              <w:left w:val="single" w:sz="8" w:color="47829E"/>
            </w:tcBorders>
            <w:shd w:val="clear" w:color="auto" w:fill="E3ECF0"/>
          </w:tcPr>
          <w:p>
            <w:pPr>
              <w:ind w:left="120"/>
              <w:spacing w:after="0"/>
              <w:rPr>
                <w:sz w:val="20"/>
                <w:szCs w:val="20"/>
                <w:color w:val="auto"/>
              </w:rPr>
            </w:pPr>
            <w:r>
              <w:rPr>
                <w:rFonts w:ascii="Arial" w:cs="Arial" w:eastAsia="Arial" w:hAnsi="Arial"/>
                <w:sz w:val="14"/>
                <w:szCs w:val="14"/>
                <w:color w:val="auto"/>
              </w:rPr>
              <w:t>William E. McDonald</w:t>
            </w:r>
          </w:p>
        </w:tc>
        <w:tc>
          <w:tcPr>
            <w:tcW w:w="2240" w:type="dxa"/>
            <w:vAlign w:val="bottom"/>
            <w:shd w:val="clear" w:color="auto" w:fill="E3ECF0"/>
          </w:tcPr>
          <w:p>
            <w:pPr>
              <w:spacing w:after="0"/>
              <w:rPr>
                <w:sz w:val="14"/>
                <w:szCs w:val="14"/>
                <w:color w:val="auto"/>
              </w:rPr>
            </w:pPr>
          </w:p>
        </w:tc>
        <w:tc>
          <w:tcPr>
            <w:tcW w:w="940" w:type="dxa"/>
            <w:vAlign w:val="bottom"/>
            <w:tcBorders>
              <w:right w:val="single" w:sz="8" w:color="47829E"/>
            </w:tcBorders>
            <w:shd w:val="clear" w:color="auto" w:fill="E3ECF0"/>
          </w:tcPr>
          <w:p>
            <w:pPr>
              <w:spacing w:after="0"/>
              <w:rPr>
                <w:sz w:val="14"/>
                <w:szCs w:val="14"/>
                <w:color w:val="auto"/>
              </w:rPr>
            </w:pPr>
          </w:p>
        </w:tc>
        <w:tc>
          <w:tcPr>
            <w:tcW w:w="940" w:type="dxa"/>
            <w:vAlign w:val="bottom"/>
            <w:tcBorders>
              <w:right w:val="single" w:sz="8" w:color="47829E"/>
            </w:tcBorders>
            <w:shd w:val="clear" w:color="auto" w:fill="E3ECF0"/>
          </w:tcPr>
          <w:p>
            <w:pPr>
              <w:spacing w:after="0"/>
              <w:rPr>
                <w:sz w:val="14"/>
                <w:szCs w:val="14"/>
                <w:color w:val="auto"/>
              </w:rPr>
            </w:pPr>
          </w:p>
        </w:tc>
        <w:tc>
          <w:tcPr>
            <w:tcW w:w="1220" w:type="dxa"/>
            <w:vAlign w:val="bottom"/>
            <w:tcBorders>
              <w:right w:val="single" w:sz="8" w:color="47829E"/>
            </w:tcBorders>
            <w:shd w:val="clear" w:color="auto" w:fill="E3ECF0"/>
          </w:tcPr>
          <w:p>
            <w:pPr>
              <w:spacing w:after="0"/>
              <w:rPr>
                <w:sz w:val="14"/>
                <w:szCs w:val="14"/>
                <w:color w:val="auto"/>
              </w:rPr>
            </w:pPr>
          </w:p>
        </w:tc>
        <w:tc>
          <w:tcPr>
            <w:tcW w:w="920" w:type="dxa"/>
            <w:vAlign w:val="bottom"/>
            <w:tcBorders>
              <w:right w:val="single" w:sz="8" w:color="47829E"/>
            </w:tcBorders>
            <w:shd w:val="clear" w:color="auto" w:fill="E3ECF0"/>
          </w:tcPr>
          <w:p>
            <w:pPr>
              <w:spacing w:after="0"/>
              <w:rPr>
                <w:sz w:val="14"/>
                <w:szCs w:val="14"/>
                <w:color w:val="auto"/>
              </w:rPr>
            </w:pPr>
          </w:p>
        </w:tc>
        <w:tc>
          <w:tcPr>
            <w:tcW w:w="940" w:type="dxa"/>
            <w:vAlign w:val="bottom"/>
            <w:tcBorders>
              <w:right w:val="single" w:sz="8" w:color="47829E"/>
            </w:tcBorders>
            <w:shd w:val="clear" w:color="auto" w:fill="E3ECF0"/>
          </w:tcPr>
          <w:p>
            <w:pPr>
              <w:spacing w:after="0"/>
              <w:rPr>
                <w:sz w:val="14"/>
                <w:szCs w:val="14"/>
                <w:color w:val="auto"/>
              </w:rPr>
            </w:pPr>
          </w:p>
        </w:tc>
        <w:tc>
          <w:tcPr>
            <w:tcW w:w="1080" w:type="dxa"/>
            <w:vAlign w:val="bottom"/>
            <w:tcBorders>
              <w:right w:val="single" w:sz="8" w:color="47829E"/>
            </w:tcBorders>
            <w:shd w:val="clear" w:color="auto" w:fill="E3ECF0"/>
          </w:tcPr>
          <w:p>
            <w:pPr>
              <w:spacing w:after="0"/>
              <w:rPr>
                <w:sz w:val="14"/>
                <w:szCs w:val="14"/>
                <w:color w:val="auto"/>
              </w:rPr>
            </w:pPr>
          </w:p>
        </w:tc>
        <w:tc>
          <w:tcPr>
            <w:tcW w:w="1120" w:type="dxa"/>
            <w:vAlign w:val="bottom"/>
            <w:tcBorders>
              <w:right w:val="single" w:sz="8" w:color="47829E"/>
            </w:tcBorders>
            <w:shd w:val="clear" w:color="auto" w:fill="E3ECF0"/>
          </w:tcPr>
          <w:p>
            <w:pPr>
              <w:spacing w:after="0"/>
              <w:rPr>
                <w:sz w:val="14"/>
                <w:szCs w:val="14"/>
                <w:color w:val="auto"/>
              </w:rPr>
            </w:pPr>
          </w:p>
        </w:tc>
      </w:tr>
      <w:tr>
        <w:trPr>
          <w:trHeight w:val="108"/>
        </w:trPr>
        <w:tc>
          <w:tcPr>
            <w:tcW w:w="2040" w:type="dxa"/>
            <w:vAlign w:val="bottom"/>
            <w:tcBorders>
              <w:left w:val="single" w:sz="8" w:color="47829E"/>
            </w:tcBorders>
            <w:shd w:val="clear" w:color="auto" w:fill="E3ECF0"/>
          </w:tcPr>
          <w:p>
            <w:pPr>
              <w:spacing w:after="0"/>
              <w:rPr>
                <w:sz w:val="9"/>
                <w:szCs w:val="9"/>
                <w:color w:val="auto"/>
              </w:rPr>
            </w:pPr>
          </w:p>
        </w:tc>
        <w:tc>
          <w:tcPr>
            <w:tcW w:w="2240" w:type="dxa"/>
            <w:vAlign w:val="bottom"/>
            <w:shd w:val="clear" w:color="auto" w:fill="E3ECF0"/>
          </w:tcPr>
          <w:p>
            <w:pPr>
              <w:spacing w:after="0"/>
              <w:rPr>
                <w:sz w:val="9"/>
                <w:szCs w:val="9"/>
                <w:color w:val="auto"/>
              </w:rPr>
            </w:pPr>
          </w:p>
        </w:tc>
        <w:tc>
          <w:tcPr>
            <w:tcW w:w="940" w:type="dxa"/>
            <w:vAlign w:val="bottom"/>
            <w:tcBorders>
              <w:right w:val="single" w:sz="8" w:color="47829E"/>
            </w:tcBorders>
            <w:shd w:val="clear" w:color="auto" w:fill="E3ECF0"/>
          </w:tcPr>
          <w:p>
            <w:pPr>
              <w:spacing w:after="0"/>
              <w:rPr>
                <w:sz w:val="9"/>
                <w:szCs w:val="9"/>
                <w:color w:val="auto"/>
              </w:rPr>
            </w:pPr>
          </w:p>
        </w:tc>
        <w:tc>
          <w:tcPr>
            <w:tcW w:w="940" w:type="dxa"/>
            <w:vAlign w:val="bottom"/>
            <w:tcBorders>
              <w:right w:val="single" w:sz="8" w:color="47829E"/>
            </w:tcBorders>
            <w:shd w:val="clear" w:color="auto" w:fill="E3ECF0"/>
          </w:tcPr>
          <w:p>
            <w:pPr>
              <w:spacing w:after="0"/>
              <w:rPr>
                <w:sz w:val="9"/>
                <w:szCs w:val="9"/>
                <w:color w:val="auto"/>
              </w:rPr>
            </w:pPr>
          </w:p>
        </w:tc>
        <w:tc>
          <w:tcPr>
            <w:tcW w:w="1220" w:type="dxa"/>
            <w:vAlign w:val="bottom"/>
            <w:tcBorders>
              <w:right w:val="single" w:sz="8" w:color="47829E"/>
            </w:tcBorders>
            <w:shd w:val="clear" w:color="auto" w:fill="E3ECF0"/>
          </w:tcPr>
          <w:p>
            <w:pPr>
              <w:spacing w:after="0"/>
              <w:rPr>
                <w:sz w:val="9"/>
                <w:szCs w:val="9"/>
                <w:color w:val="auto"/>
              </w:rPr>
            </w:pPr>
          </w:p>
        </w:tc>
        <w:tc>
          <w:tcPr>
            <w:tcW w:w="920" w:type="dxa"/>
            <w:vAlign w:val="bottom"/>
            <w:tcBorders>
              <w:right w:val="single" w:sz="8" w:color="47829E"/>
            </w:tcBorders>
            <w:shd w:val="clear" w:color="auto" w:fill="E3ECF0"/>
          </w:tcPr>
          <w:p>
            <w:pPr>
              <w:spacing w:after="0"/>
              <w:rPr>
                <w:sz w:val="9"/>
                <w:szCs w:val="9"/>
                <w:color w:val="auto"/>
              </w:rPr>
            </w:pPr>
          </w:p>
        </w:tc>
        <w:tc>
          <w:tcPr>
            <w:tcW w:w="940" w:type="dxa"/>
            <w:vAlign w:val="bottom"/>
            <w:tcBorders>
              <w:right w:val="single" w:sz="8" w:color="47829E"/>
            </w:tcBorders>
            <w:shd w:val="clear" w:color="auto" w:fill="E3ECF0"/>
          </w:tcPr>
          <w:p>
            <w:pPr>
              <w:spacing w:after="0"/>
              <w:rPr>
                <w:sz w:val="9"/>
                <w:szCs w:val="9"/>
                <w:color w:val="auto"/>
              </w:rPr>
            </w:pPr>
          </w:p>
        </w:tc>
        <w:tc>
          <w:tcPr>
            <w:tcW w:w="1080" w:type="dxa"/>
            <w:vAlign w:val="bottom"/>
            <w:tcBorders>
              <w:right w:val="single" w:sz="8" w:color="47829E"/>
            </w:tcBorders>
            <w:shd w:val="clear" w:color="auto" w:fill="E3ECF0"/>
          </w:tcPr>
          <w:p>
            <w:pPr>
              <w:spacing w:after="0"/>
              <w:rPr>
                <w:sz w:val="9"/>
                <w:szCs w:val="9"/>
                <w:color w:val="auto"/>
              </w:rPr>
            </w:pPr>
          </w:p>
        </w:tc>
        <w:tc>
          <w:tcPr>
            <w:tcW w:w="1120" w:type="dxa"/>
            <w:vAlign w:val="bottom"/>
            <w:tcBorders>
              <w:right w:val="single" w:sz="8" w:color="47829E"/>
            </w:tcBorders>
            <w:shd w:val="clear" w:color="auto" w:fill="E3ECF0"/>
          </w:tcPr>
          <w:p>
            <w:pPr>
              <w:spacing w:after="0"/>
              <w:rPr>
                <w:sz w:val="9"/>
                <w:szCs w:val="9"/>
                <w:color w:val="auto"/>
              </w:rPr>
            </w:pPr>
          </w:p>
        </w:tc>
      </w:tr>
      <w:tr>
        <w:trPr>
          <w:trHeight w:val="162"/>
        </w:trPr>
        <w:tc>
          <w:tcPr>
            <w:tcW w:w="2040" w:type="dxa"/>
            <w:vAlign w:val="bottom"/>
            <w:tcBorders>
              <w:left w:val="single" w:sz="8" w:color="47829E"/>
            </w:tcBorders>
          </w:tcPr>
          <w:p>
            <w:pPr>
              <w:ind w:left="120"/>
              <w:spacing w:after="0"/>
              <w:rPr>
                <w:sz w:val="20"/>
                <w:szCs w:val="20"/>
                <w:color w:val="auto"/>
              </w:rPr>
            </w:pPr>
            <w:r>
              <w:rPr>
                <w:rFonts w:ascii="Arial" w:cs="Arial" w:eastAsia="Arial" w:hAnsi="Arial"/>
                <w:sz w:val="14"/>
                <w:szCs w:val="14"/>
                <w:color w:val="auto"/>
              </w:rPr>
              <w:t>Frank H. Menaker, Jr.</w:t>
            </w:r>
          </w:p>
        </w:tc>
        <w:tc>
          <w:tcPr>
            <w:tcW w:w="2240" w:type="dxa"/>
            <w:vAlign w:val="bottom"/>
          </w:tcPr>
          <w:p>
            <w:pPr>
              <w:spacing w:after="0"/>
              <w:rPr>
                <w:sz w:val="14"/>
                <w:szCs w:val="14"/>
                <w:color w:val="auto"/>
              </w:rPr>
            </w:pPr>
          </w:p>
        </w:tc>
        <w:tc>
          <w:tcPr>
            <w:tcW w:w="940" w:type="dxa"/>
            <w:vAlign w:val="bottom"/>
            <w:tcBorders>
              <w:right w:val="single" w:sz="8" w:color="47829E"/>
            </w:tcBorders>
          </w:tcPr>
          <w:p>
            <w:pPr>
              <w:spacing w:after="0"/>
              <w:rPr>
                <w:sz w:val="14"/>
                <w:szCs w:val="14"/>
                <w:color w:val="auto"/>
              </w:rPr>
            </w:pPr>
          </w:p>
        </w:tc>
        <w:tc>
          <w:tcPr>
            <w:tcW w:w="940" w:type="dxa"/>
            <w:vAlign w:val="bottom"/>
            <w:tcBorders>
              <w:right w:val="single" w:sz="8" w:color="47829E"/>
            </w:tcBorders>
          </w:tcPr>
          <w:p>
            <w:pPr>
              <w:spacing w:after="0"/>
              <w:rPr>
                <w:sz w:val="14"/>
                <w:szCs w:val="14"/>
                <w:color w:val="auto"/>
              </w:rPr>
            </w:pPr>
          </w:p>
        </w:tc>
        <w:tc>
          <w:tcPr>
            <w:tcW w:w="1220" w:type="dxa"/>
            <w:vAlign w:val="bottom"/>
            <w:tcBorders>
              <w:right w:val="single" w:sz="8" w:color="47829E"/>
            </w:tcBorders>
          </w:tcPr>
          <w:p>
            <w:pPr>
              <w:spacing w:after="0"/>
              <w:rPr>
                <w:sz w:val="14"/>
                <w:szCs w:val="14"/>
                <w:color w:val="auto"/>
              </w:rPr>
            </w:pPr>
          </w:p>
        </w:tc>
        <w:tc>
          <w:tcPr>
            <w:tcW w:w="920" w:type="dxa"/>
            <w:vAlign w:val="bottom"/>
            <w:tcBorders>
              <w:right w:val="single" w:sz="8" w:color="47829E"/>
            </w:tcBorders>
          </w:tcPr>
          <w:p>
            <w:pPr>
              <w:spacing w:after="0"/>
              <w:rPr>
                <w:sz w:val="14"/>
                <w:szCs w:val="14"/>
                <w:color w:val="auto"/>
              </w:rPr>
            </w:pPr>
          </w:p>
        </w:tc>
        <w:tc>
          <w:tcPr>
            <w:tcW w:w="940" w:type="dxa"/>
            <w:vAlign w:val="bottom"/>
            <w:tcBorders>
              <w:right w:val="single" w:sz="8" w:color="47829E"/>
            </w:tcBorders>
          </w:tcPr>
          <w:p>
            <w:pPr>
              <w:spacing w:after="0"/>
              <w:rPr>
                <w:sz w:val="14"/>
                <w:szCs w:val="14"/>
                <w:color w:val="auto"/>
              </w:rPr>
            </w:pPr>
          </w:p>
        </w:tc>
        <w:tc>
          <w:tcPr>
            <w:tcW w:w="1080" w:type="dxa"/>
            <w:vAlign w:val="bottom"/>
            <w:tcBorders>
              <w:right w:val="single" w:sz="8" w:color="47829E"/>
            </w:tcBorders>
          </w:tcPr>
          <w:p>
            <w:pPr>
              <w:spacing w:after="0"/>
              <w:rPr>
                <w:sz w:val="14"/>
                <w:szCs w:val="14"/>
                <w:color w:val="auto"/>
              </w:rPr>
            </w:pPr>
          </w:p>
        </w:tc>
        <w:tc>
          <w:tcPr>
            <w:tcW w:w="1120" w:type="dxa"/>
            <w:vAlign w:val="bottom"/>
            <w:tcBorders>
              <w:right w:val="single" w:sz="8" w:color="47829E"/>
            </w:tcBorders>
          </w:tcPr>
          <w:p>
            <w:pPr>
              <w:spacing w:after="0"/>
              <w:rPr>
                <w:sz w:val="14"/>
                <w:szCs w:val="14"/>
                <w:color w:val="auto"/>
              </w:rPr>
            </w:pPr>
          </w:p>
        </w:tc>
      </w:tr>
      <w:tr>
        <w:trPr>
          <w:trHeight w:val="108"/>
        </w:trPr>
        <w:tc>
          <w:tcPr>
            <w:tcW w:w="2040" w:type="dxa"/>
            <w:vAlign w:val="bottom"/>
            <w:tcBorders>
              <w:left w:val="single" w:sz="8" w:color="47829E"/>
            </w:tcBorders>
          </w:tcPr>
          <w:p>
            <w:pPr>
              <w:spacing w:after="0"/>
              <w:rPr>
                <w:sz w:val="9"/>
                <w:szCs w:val="9"/>
                <w:color w:val="auto"/>
              </w:rPr>
            </w:pPr>
          </w:p>
        </w:tc>
        <w:tc>
          <w:tcPr>
            <w:tcW w:w="2240" w:type="dxa"/>
            <w:vAlign w:val="bottom"/>
          </w:tcPr>
          <w:p>
            <w:pPr>
              <w:spacing w:after="0"/>
              <w:rPr>
                <w:sz w:val="9"/>
                <w:szCs w:val="9"/>
                <w:color w:val="auto"/>
              </w:rPr>
            </w:pPr>
          </w:p>
        </w:tc>
        <w:tc>
          <w:tcPr>
            <w:tcW w:w="940" w:type="dxa"/>
            <w:vAlign w:val="bottom"/>
            <w:tcBorders>
              <w:right w:val="single" w:sz="8" w:color="47829E"/>
            </w:tcBorders>
          </w:tcPr>
          <w:p>
            <w:pPr>
              <w:spacing w:after="0"/>
              <w:rPr>
                <w:sz w:val="9"/>
                <w:szCs w:val="9"/>
                <w:color w:val="auto"/>
              </w:rPr>
            </w:pPr>
          </w:p>
        </w:tc>
        <w:tc>
          <w:tcPr>
            <w:tcW w:w="940" w:type="dxa"/>
            <w:vAlign w:val="bottom"/>
            <w:tcBorders>
              <w:right w:val="single" w:sz="8" w:color="47829E"/>
            </w:tcBorders>
          </w:tcPr>
          <w:p>
            <w:pPr>
              <w:spacing w:after="0"/>
              <w:rPr>
                <w:sz w:val="9"/>
                <w:szCs w:val="9"/>
                <w:color w:val="auto"/>
              </w:rPr>
            </w:pPr>
          </w:p>
        </w:tc>
        <w:tc>
          <w:tcPr>
            <w:tcW w:w="1220" w:type="dxa"/>
            <w:vAlign w:val="bottom"/>
            <w:tcBorders>
              <w:right w:val="single" w:sz="8" w:color="47829E"/>
            </w:tcBorders>
          </w:tcPr>
          <w:p>
            <w:pPr>
              <w:spacing w:after="0"/>
              <w:rPr>
                <w:sz w:val="9"/>
                <w:szCs w:val="9"/>
                <w:color w:val="auto"/>
              </w:rPr>
            </w:pPr>
          </w:p>
        </w:tc>
        <w:tc>
          <w:tcPr>
            <w:tcW w:w="920" w:type="dxa"/>
            <w:vAlign w:val="bottom"/>
            <w:tcBorders>
              <w:right w:val="single" w:sz="8" w:color="47829E"/>
            </w:tcBorders>
          </w:tcPr>
          <w:p>
            <w:pPr>
              <w:spacing w:after="0"/>
              <w:rPr>
                <w:sz w:val="9"/>
                <w:szCs w:val="9"/>
                <w:color w:val="auto"/>
              </w:rPr>
            </w:pPr>
          </w:p>
        </w:tc>
        <w:tc>
          <w:tcPr>
            <w:tcW w:w="940" w:type="dxa"/>
            <w:vAlign w:val="bottom"/>
            <w:tcBorders>
              <w:right w:val="single" w:sz="8" w:color="47829E"/>
            </w:tcBorders>
          </w:tcPr>
          <w:p>
            <w:pPr>
              <w:spacing w:after="0"/>
              <w:rPr>
                <w:sz w:val="9"/>
                <w:szCs w:val="9"/>
                <w:color w:val="auto"/>
              </w:rPr>
            </w:pPr>
          </w:p>
        </w:tc>
        <w:tc>
          <w:tcPr>
            <w:tcW w:w="1080" w:type="dxa"/>
            <w:vAlign w:val="bottom"/>
            <w:tcBorders>
              <w:right w:val="single" w:sz="8" w:color="47829E"/>
            </w:tcBorders>
          </w:tcPr>
          <w:p>
            <w:pPr>
              <w:spacing w:after="0"/>
              <w:rPr>
                <w:sz w:val="9"/>
                <w:szCs w:val="9"/>
                <w:color w:val="auto"/>
              </w:rPr>
            </w:pPr>
          </w:p>
        </w:tc>
        <w:tc>
          <w:tcPr>
            <w:tcW w:w="1120" w:type="dxa"/>
            <w:vAlign w:val="bottom"/>
            <w:tcBorders>
              <w:right w:val="single" w:sz="8" w:color="47829E"/>
            </w:tcBorders>
          </w:tcPr>
          <w:p>
            <w:pPr>
              <w:spacing w:after="0"/>
              <w:rPr>
                <w:sz w:val="9"/>
                <w:szCs w:val="9"/>
                <w:color w:val="auto"/>
              </w:rPr>
            </w:pPr>
          </w:p>
        </w:tc>
      </w:tr>
      <w:tr>
        <w:trPr>
          <w:trHeight w:val="162"/>
        </w:trPr>
        <w:tc>
          <w:tcPr>
            <w:tcW w:w="2040" w:type="dxa"/>
            <w:vAlign w:val="bottom"/>
            <w:tcBorders>
              <w:left w:val="single" w:sz="8" w:color="47829E"/>
            </w:tcBorders>
            <w:shd w:val="clear" w:color="auto" w:fill="E3ECF0"/>
          </w:tcPr>
          <w:p>
            <w:pPr>
              <w:ind w:left="120"/>
              <w:spacing w:after="0"/>
              <w:rPr>
                <w:sz w:val="20"/>
                <w:szCs w:val="20"/>
                <w:color w:val="auto"/>
              </w:rPr>
            </w:pPr>
            <w:r>
              <w:rPr>
                <w:rFonts w:ascii="Arial" w:cs="Arial" w:eastAsia="Arial" w:hAnsi="Arial"/>
                <w:sz w:val="14"/>
                <w:szCs w:val="14"/>
                <w:color w:val="auto"/>
              </w:rPr>
              <w:t>C. Howard Nye</w:t>
            </w:r>
          </w:p>
        </w:tc>
        <w:tc>
          <w:tcPr>
            <w:tcW w:w="2240" w:type="dxa"/>
            <w:vAlign w:val="bottom"/>
            <w:shd w:val="clear" w:color="auto" w:fill="E3ECF0"/>
          </w:tcPr>
          <w:p>
            <w:pPr>
              <w:spacing w:after="0"/>
              <w:rPr>
                <w:sz w:val="14"/>
                <w:szCs w:val="14"/>
                <w:color w:val="auto"/>
              </w:rPr>
            </w:pPr>
          </w:p>
        </w:tc>
        <w:tc>
          <w:tcPr>
            <w:tcW w:w="940" w:type="dxa"/>
            <w:vAlign w:val="bottom"/>
            <w:tcBorders>
              <w:right w:val="single" w:sz="8" w:color="47829E"/>
            </w:tcBorders>
            <w:shd w:val="clear" w:color="auto" w:fill="E3ECF0"/>
          </w:tcPr>
          <w:p>
            <w:pPr>
              <w:spacing w:after="0"/>
              <w:rPr>
                <w:sz w:val="14"/>
                <w:szCs w:val="14"/>
                <w:color w:val="auto"/>
              </w:rPr>
            </w:pPr>
          </w:p>
        </w:tc>
        <w:tc>
          <w:tcPr>
            <w:tcW w:w="940" w:type="dxa"/>
            <w:vAlign w:val="bottom"/>
            <w:tcBorders>
              <w:right w:val="single" w:sz="8" w:color="47829E"/>
            </w:tcBorders>
            <w:shd w:val="clear" w:color="auto" w:fill="E3ECF0"/>
          </w:tcPr>
          <w:p>
            <w:pPr>
              <w:spacing w:after="0"/>
              <w:rPr>
                <w:sz w:val="14"/>
                <w:szCs w:val="14"/>
                <w:color w:val="auto"/>
              </w:rPr>
            </w:pPr>
          </w:p>
        </w:tc>
        <w:tc>
          <w:tcPr>
            <w:tcW w:w="1220" w:type="dxa"/>
            <w:vAlign w:val="bottom"/>
            <w:tcBorders>
              <w:right w:val="single" w:sz="8" w:color="47829E"/>
            </w:tcBorders>
            <w:shd w:val="clear" w:color="auto" w:fill="E3ECF0"/>
          </w:tcPr>
          <w:p>
            <w:pPr>
              <w:spacing w:after="0"/>
              <w:rPr>
                <w:sz w:val="14"/>
                <w:szCs w:val="14"/>
                <w:color w:val="auto"/>
              </w:rPr>
            </w:pPr>
          </w:p>
        </w:tc>
        <w:tc>
          <w:tcPr>
            <w:tcW w:w="920" w:type="dxa"/>
            <w:vAlign w:val="bottom"/>
            <w:tcBorders>
              <w:right w:val="single" w:sz="8" w:color="47829E"/>
            </w:tcBorders>
            <w:shd w:val="clear" w:color="auto" w:fill="E3ECF0"/>
          </w:tcPr>
          <w:p>
            <w:pPr>
              <w:spacing w:after="0"/>
              <w:rPr>
                <w:sz w:val="14"/>
                <w:szCs w:val="14"/>
                <w:color w:val="auto"/>
              </w:rPr>
            </w:pPr>
          </w:p>
        </w:tc>
        <w:tc>
          <w:tcPr>
            <w:tcW w:w="940" w:type="dxa"/>
            <w:vAlign w:val="bottom"/>
            <w:tcBorders>
              <w:right w:val="single" w:sz="8" w:color="47829E"/>
            </w:tcBorders>
            <w:shd w:val="clear" w:color="auto" w:fill="E3ECF0"/>
          </w:tcPr>
          <w:p>
            <w:pPr>
              <w:spacing w:after="0"/>
              <w:rPr>
                <w:sz w:val="14"/>
                <w:szCs w:val="14"/>
                <w:color w:val="auto"/>
              </w:rPr>
            </w:pPr>
          </w:p>
        </w:tc>
        <w:tc>
          <w:tcPr>
            <w:tcW w:w="1080" w:type="dxa"/>
            <w:vAlign w:val="bottom"/>
            <w:tcBorders>
              <w:right w:val="single" w:sz="8" w:color="47829E"/>
            </w:tcBorders>
            <w:shd w:val="clear" w:color="auto" w:fill="E3ECF0"/>
          </w:tcPr>
          <w:p>
            <w:pPr>
              <w:spacing w:after="0"/>
              <w:rPr>
                <w:sz w:val="14"/>
                <w:szCs w:val="14"/>
                <w:color w:val="auto"/>
              </w:rPr>
            </w:pPr>
          </w:p>
        </w:tc>
        <w:tc>
          <w:tcPr>
            <w:tcW w:w="1120" w:type="dxa"/>
            <w:vAlign w:val="bottom"/>
            <w:tcBorders>
              <w:right w:val="single" w:sz="8" w:color="47829E"/>
            </w:tcBorders>
            <w:shd w:val="clear" w:color="auto" w:fill="E3ECF0"/>
          </w:tcPr>
          <w:p>
            <w:pPr>
              <w:spacing w:after="0"/>
              <w:rPr>
                <w:sz w:val="14"/>
                <w:szCs w:val="14"/>
                <w:color w:val="auto"/>
              </w:rPr>
            </w:pPr>
          </w:p>
        </w:tc>
      </w:tr>
      <w:tr>
        <w:trPr>
          <w:trHeight w:val="108"/>
        </w:trPr>
        <w:tc>
          <w:tcPr>
            <w:tcW w:w="2040" w:type="dxa"/>
            <w:vAlign w:val="bottom"/>
            <w:tcBorders>
              <w:left w:val="single" w:sz="8" w:color="47829E"/>
            </w:tcBorders>
            <w:shd w:val="clear" w:color="auto" w:fill="E3ECF0"/>
          </w:tcPr>
          <w:p>
            <w:pPr>
              <w:spacing w:after="0"/>
              <w:rPr>
                <w:sz w:val="9"/>
                <w:szCs w:val="9"/>
                <w:color w:val="auto"/>
              </w:rPr>
            </w:pPr>
          </w:p>
        </w:tc>
        <w:tc>
          <w:tcPr>
            <w:tcW w:w="2240" w:type="dxa"/>
            <w:vAlign w:val="bottom"/>
            <w:shd w:val="clear" w:color="auto" w:fill="E3ECF0"/>
          </w:tcPr>
          <w:p>
            <w:pPr>
              <w:spacing w:after="0"/>
              <w:rPr>
                <w:sz w:val="9"/>
                <w:szCs w:val="9"/>
                <w:color w:val="auto"/>
              </w:rPr>
            </w:pPr>
          </w:p>
        </w:tc>
        <w:tc>
          <w:tcPr>
            <w:tcW w:w="940" w:type="dxa"/>
            <w:vAlign w:val="bottom"/>
            <w:tcBorders>
              <w:right w:val="single" w:sz="8" w:color="47829E"/>
            </w:tcBorders>
            <w:shd w:val="clear" w:color="auto" w:fill="E3ECF0"/>
          </w:tcPr>
          <w:p>
            <w:pPr>
              <w:spacing w:after="0"/>
              <w:rPr>
                <w:sz w:val="9"/>
                <w:szCs w:val="9"/>
                <w:color w:val="auto"/>
              </w:rPr>
            </w:pPr>
          </w:p>
        </w:tc>
        <w:tc>
          <w:tcPr>
            <w:tcW w:w="940" w:type="dxa"/>
            <w:vAlign w:val="bottom"/>
            <w:tcBorders>
              <w:right w:val="single" w:sz="8" w:color="47829E"/>
            </w:tcBorders>
            <w:shd w:val="clear" w:color="auto" w:fill="E3ECF0"/>
          </w:tcPr>
          <w:p>
            <w:pPr>
              <w:spacing w:after="0"/>
              <w:rPr>
                <w:sz w:val="9"/>
                <w:szCs w:val="9"/>
                <w:color w:val="auto"/>
              </w:rPr>
            </w:pPr>
          </w:p>
        </w:tc>
        <w:tc>
          <w:tcPr>
            <w:tcW w:w="1220" w:type="dxa"/>
            <w:vAlign w:val="bottom"/>
            <w:tcBorders>
              <w:right w:val="single" w:sz="8" w:color="47829E"/>
            </w:tcBorders>
            <w:shd w:val="clear" w:color="auto" w:fill="E3ECF0"/>
          </w:tcPr>
          <w:p>
            <w:pPr>
              <w:spacing w:after="0"/>
              <w:rPr>
                <w:sz w:val="9"/>
                <w:szCs w:val="9"/>
                <w:color w:val="auto"/>
              </w:rPr>
            </w:pPr>
          </w:p>
        </w:tc>
        <w:tc>
          <w:tcPr>
            <w:tcW w:w="920" w:type="dxa"/>
            <w:vAlign w:val="bottom"/>
            <w:tcBorders>
              <w:right w:val="single" w:sz="8" w:color="47829E"/>
            </w:tcBorders>
            <w:shd w:val="clear" w:color="auto" w:fill="E3ECF0"/>
          </w:tcPr>
          <w:p>
            <w:pPr>
              <w:spacing w:after="0"/>
              <w:rPr>
                <w:sz w:val="9"/>
                <w:szCs w:val="9"/>
                <w:color w:val="auto"/>
              </w:rPr>
            </w:pPr>
          </w:p>
        </w:tc>
        <w:tc>
          <w:tcPr>
            <w:tcW w:w="940" w:type="dxa"/>
            <w:vAlign w:val="bottom"/>
            <w:tcBorders>
              <w:right w:val="single" w:sz="8" w:color="47829E"/>
            </w:tcBorders>
            <w:shd w:val="clear" w:color="auto" w:fill="E3ECF0"/>
          </w:tcPr>
          <w:p>
            <w:pPr>
              <w:spacing w:after="0"/>
              <w:rPr>
                <w:sz w:val="9"/>
                <w:szCs w:val="9"/>
                <w:color w:val="auto"/>
              </w:rPr>
            </w:pPr>
          </w:p>
        </w:tc>
        <w:tc>
          <w:tcPr>
            <w:tcW w:w="1080" w:type="dxa"/>
            <w:vAlign w:val="bottom"/>
            <w:tcBorders>
              <w:right w:val="single" w:sz="8" w:color="47829E"/>
            </w:tcBorders>
            <w:shd w:val="clear" w:color="auto" w:fill="E3ECF0"/>
          </w:tcPr>
          <w:p>
            <w:pPr>
              <w:spacing w:after="0"/>
              <w:rPr>
                <w:sz w:val="9"/>
                <w:szCs w:val="9"/>
                <w:color w:val="auto"/>
              </w:rPr>
            </w:pPr>
          </w:p>
        </w:tc>
        <w:tc>
          <w:tcPr>
            <w:tcW w:w="1120" w:type="dxa"/>
            <w:vAlign w:val="bottom"/>
            <w:tcBorders>
              <w:right w:val="single" w:sz="8" w:color="47829E"/>
            </w:tcBorders>
            <w:shd w:val="clear" w:color="auto" w:fill="E3ECF0"/>
          </w:tcPr>
          <w:p>
            <w:pPr>
              <w:spacing w:after="0"/>
              <w:rPr>
                <w:sz w:val="9"/>
                <w:szCs w:val="9"/>
                <w:color w:val="auto"/>
              </w:rPr>
            </w:pPr>
          </w:p>
        </w:tc>
      </w:tr>
      <w:tr>
        <w:trPr>
          <w:trHeight w:val="162"/>
        </w:trPr>
        <w:tc>
          <w:tcPr>
            <w:tcW w:w="2040" w:type="dxa"/>
            <w:vAlign w:val="bottom"/>
            <w:tcBorders>
              <w:left w:val="single" w:sz="8" w:color="47829E"/>
            </w:tcBorders>
          </w:tcPr>
          <w:p>
            <w:pPr>
              <w:ind w:left="120"/>
              <w:spacing w:after="0"/>
              <w:rPr>
                <w:sz w:val="20"/>
                <w:szCs w:val="20"/>
                <w:color w:val="auto"/>
              </w:rPr>
            </w:pPr>
            <w:r>
              <w:rPr>
                <w:rFonts w:ascii="Arial" w:cs="Arial" w:eastAsia="Arial" w:hAnsi="Arial"/>
                <w:sz w:val="14"/>
                <w:szCs w:val="14"/>
                <w:color w:val="auto"/>
              </w:rPr>
              <w:t>Laree E. Perez</w:t>
            </w:r>
          </w:p>
        </w:tc>
        <w:tc>
          <w:tcPr>
            <w:tcW w:w="2240" w:type="dxa"/>
            <w:vAlign w:val="bottom"/>
          </w:tcPr>
          <w:p>
            <w:pPr>
              <w:spacing w:after="0"/>
              <w:rPr>
                <w:sz w:val="14"/>
                <w:szCs w:val="14"/>
                <w:color w:val="auto"/>
              </w:rPr>
            </w:pPr>
          </w:p>
        </w:tc>
        <w:tc>
          <w:tcPr>
            <w:tcW w:w="940" w:type="dxa"/>
            <w:vAlign w:val="bottom"/>
            <w:tcBorders>
              <w:right w:val="single" w:sz="8" w:color="47829E"/>
            </w:tcBorders>
          </w:tcPr>
          <w:p>
            <w:pPr>
              <w:spacing w:after="0"/>
              <w:rPr>
                <w:sz w:val="14"/>
                <w:szCs w:val="14"/>
                <w:color w:val="auto"/>
              </w:rPr>
            </w:pPr>
          </w:p>
        </w:tc>
        <w:tc>
          <w:tcPr>
            <w:tcW w:w="940" w:type="dxa"/>
            <w:vAlign w:val="bottom"/>
            <w:tcBorders>
              <w:right w:val="single" w:sz="8" w:color="47829E"/>
            </w:tcBorders>
          </w:tcPr>
          <w:p>
            <w:pPr>
              <w:spacing w:after="0"/>
              <w:rPr>
                <w:sz w:val="14"/>
                <w:szCs w:val="14"/>
                <w:color w:val="auto"/>
              </w:rPr>
            </w:pPr>
          </w:p>
        </w:tc>
        <w:tc>
          <w:tcPr>
            <w:tcW w:w="1220" w:type="dxa"/>
            <w:vAlign w:val="bottom"/>
            <w:tcBorders>
              <w:right w:val="single" w:sz="8" w:color="47829E"/>
            </w:tcBorders>
          </w:tcPr>
          <w:p>
            <w:pPr>
              <w:spacing w:after="0"/>
              <w:rPr>
                <w:sz w:val="14"/>
                <w:szCs w:val="14"/>
                <w:color w:val="auto"/>
              </w:rPr>
            </w:pPr>
          </w:p>
        </w:tc>
        <w:tc>
          <w:tcPr>
            <w:tcW w:w="920" w:type="dxa"/>
            <w:vAlign w:val="bottom"/>
            <w:tcBorders>
              <w:right w:val="single" w:sz="8" w:color="47829E"/>
            </w:tcBorders>
          </w:tcPr>
          <w:p>
            <w:pPr>
              <w:spacing w:after="0"/>
              <w:rPr>
                <w:sz w:val="14"/>
                <w:szCs w:val="14"/>
                <w:color w:val="auto"/>
              </w:rPr>
            </w:pPr>
          </w:p>
        </w:tc>
        <w:tc>
          <w:tcPr>
            <w:tcW w:w="940" w:type="dxa"/>
            <w:vAlign w:val="bottom"/>
            <w:tcBorders>
              <w:right w:val="single" w:sz="8" w:color="47829E"/>
            </w:tcBorders>
          </w:tcPr>
          <w:p>
            <w:pPr>
              <w:spacing w:after="0"/>
              <w:rPr>
                <w:sz w:val="14"/>
                <w:szCs w:val="14"/>
                <w:color w:val="auto"/>
              </w:rPr>
            </w:pPr>
          </w:p>
        </w:tc>
        <w:tc>
          <w:tcPr>
            <w:tcW w:w="1080" w:type="dxa"/>
            <w:vAlign w:val="bottom"/>
            <w:tcBorders>
              <w:right w:val="single" w:sz="8" w:color="47829E"/>
            </w:tcBorders>
          </w:tcPr>
          <w:p>
            <w:pPr>
              <w:spacing w:after="0"/>
              <w:rPr>
                <w:sz w:val="14"/>
                <w:szCs w:val="14"/>
                <w:color w:val="auto"/>
              </w:rPr>
            </w:pPr>
          </w:p>
        </w:tc>
        <w:tc>
          <w:tcPr>
            <w:tcW w:w="1120" w:type="dxa"/>
            <w:vAlign w:val="bottom"/>
            <w:tcBorders>
              <w:right w:val="single" w:sz="8" w:color="47829E"/>
            </w:tcBorders>
          </w:tcPr>
          <w:p>
            <w:pPr>
              <w:spacing w:after="0"/>
              <w:rPr>
                <w:sz w:val="14"/>
                <w:szCs w:val="14"/>
                <w:color w:val="auto"/>
              </w:rPr>
            </w:pPr>
          </w:p>
        </w:tc>
      </w:tr>
      <w:tr>
        <w:trPr>
          <w:trHeight w:val="108"/>
        </w:trPr>
        <w:tc>
          <w:tcPr>
            <w:tcW w:w="2040" w:type="dxa"/>
            <w:vAlign w:val="bottom"/>
            <w:tcBorders>
              <w:left w:val="single" w:sz="8" w:color="47829E"/>
            </w:tcBorders>
          </w:tcPr>
          <w:p>
            <w:pPr>
              <w:spacing w:after="0"/>
              <w:rPr>
                <w:sz w:val="9"/>
                <w:szCs w:val="9"/>
                <w:color w:val="auto"/>
              </w:rPr>
            </w:pPr>
          </w:p>
        </w:tc>
        <w:tc>
          <w:tcPr>
            <w:tcW w:w="2240" w:type="dxa"/>
            <w:vAlign w:val="bottom"/>
          </w:tcPr>
          <w:p>
            <w:pPr>
              <w:spacing w:after="0"/>
              <w:rPr>
                <w:sz w:val="9"/>
                <w:szCs w:val="9"/>
                <w:color w:val="auto"/>
              </w:rPr>
            </w:pPr>
          </w:p>
        </w:tc>
        <w:tc>
          <w:tcPr>
            <w:tcW w:w="940" w:type="dxa"/>
            <w:vAlign w:val="bottom"/>
            <w:tcBorders>
              <w:right w:val="single" w:sz="8" w:color="47829E"/>
            </w:tcBorders>
          </w:tcPr>
          <w:p>
            <w:pPr>
              <w:spacing w:after="0"/>
              <w:rPr>
                <w:sz w:val="9"/>
                <w:szCs w:val="9"/>
                <w:color w:val="auto"/>
              </w:rPr>
            </w:pPr>
          </w:p>
        </w:tc>
        <w:tc>
          <w:tcPr>
            <w:tcW w:w="940" w:type="dxa"/>
            <w:vAlign w:val="bottom"/>
            <w:tcBorders>
              <w:right w:val="single" w:sz="8" w:color="47829E"/>
            </w:tcBorders>
          </w:tcPr>
          <w:p>
            <w:pPr>
              <w:spacing w:after="0"/>
              <w:rPr>
                <w:sz w:val="9"/>
                <w:szCs w:val="9"/>
                <w:color w:val="auto"/>
              </w:rPr>
            </w:pPr>
          </w:p>
        </w:tc>
        <w:tc>
          <w:tcPr>
            <w:tcW w:w="1220" w:type="dxa"/>
            <w:vAlign w:val="bottom"/>
            <w:tcBorders>
              <w:right w:val="single" w:sz="8" w:color="47829E"/>
            </w:tcBorders>
          </w:tcPr>
          <w:p>
            <w:pPr>
              <w:spacing w:after="0"/>
              <w:rPr>
                <w:sz w:val="9"/>
                <w:szCs w:val="9"/>
                <w:color w:val="auto"/>
              </w:rPr>
            </w:pPr>
          </w:p>
        </w:tc>
        <w:tc>
          <w:tcPr>
            <w:tcW w:w="920" w:type="dxa"/>
            <w:vAlign w:val="bottom"/>
            <w:tcBorders>
              <w:right w:val="single" w:sz="8" w:color="47829E"/>
            </w:tcBorders>
          </w:tcPr>
          <w:p>
            <w:pPr>
              <w:spacing w:after="0"/>
              <w:rPr>
                <w:sz w:val="9"/>
                <w:szCs w:val="9"/>
                <w:color w:val="auto"/>
              </w:rPr>
            </w:pPr>
          </w:p>
        </w:tc>
        <w:tc>
          <w:tcPr>
            <w:tcW w:w="940" w:type="dxa"/>
            <w:vAlign w:val="bottom"/>
            <w:tcBorders>
              <w:right w:val="single" w:sz="8" w:color="47829E"/>
            </w:tcBorders>
          </w:tcPr>
          <w:p>
            <w:pPr>
              <w:spacing w:after="0"/>
              <w:rPr>
                <w:sz w:val="9"/>
                <w:szCs w:val="9"/>
                <w:color w:val="auto"/>
              </w:rPr>
            </w:pPr>
          </w:p>
        </w:tc>
        <w:tc>
          <w:tcPr>
            <w:tcW w:w="1080" w:type="dxa"/>
            <w:vAlign w:val="bottom"/>
            <w:tcBorders>
              <w:right w:val="single" w:sz="8" w:color="47829E"/>
            </w:tcBorders>
          </w:tcPr>
          <w:p>
            <w:pPr>
              <w:spacing w:after="0"/>
              <w:rPr>
                <w:sz w:val="9"/>
                <w:szCs w:val="9"/>
                <w:color w:val="auto"/>
              </w:rPr>
            </w:pPr>
          </w:p>
        </w:tc>
        <w:tc>
          <w:tcPr>
            <w:tcW w:w="1120" w:type="dxa"/>
            <w:vAlign w:val="bottom"/>
            <w:tcBorders>
              <w:right w:val="single" w:sz="8" w:color="47829E"/>
            </w:tcBorders>
          </w:tcPr>
          <w:p>
            <w:pPr>
              <w:spacing w:after="0"/>
              <w:rPr>
                <w:sz w:val="9"/>
                <w:szCs w:val="9"/>
                <w:color w:val="auto"/>
              </w:rPr>
            </w:pPr>
          </w:p>
        </w:tc>
      </w:tr>
      <w:tr>
        <w:trPr>
          <w:trHeight w:val="270"/>
        </w:trPr>
        <w:tc>
          <w:tcPr>
            <w:tcW w:w="2040" w:type="dxa"/>
            <w:vAlign w:val="bottom"/>
            <w:tcBorders>
              <w:left w:val="single" w:sz="8" w:color="47829E"/>
            </w:tcBorders>
            <w:shd w:val="clear" w:color="auto" w:fill="E3ECF0"/>
          </w:tcPr>
          <w:p>
            <w:pPr>
              <w:ind w:left="120"/>
              <w:spacing w:after="0"/>
              <w:rPr>
                <w:sz w:val="20"/>
                <w:szCs w:val="20"/>
                <w:color w:val="auto"/>
              </w:rPr>
            </w:pPr>
            <w:r>
              <w:rPr>
                <w:rFonts w:ascii="Arial" w:cs="Arial" w:eastAsia="Arial" w:hAnsi="Arial"/>
                <w:sz w:val="14"/>
                <w:szCs w:val="14"/>
                <w:color w:val="auto"/>
              </w:rPr>
              <w:t>Michael J. Quillen</w:t>
            </w:r>
          </w:p>
        </w:tc>
        <w:tc>
          <w:tcPr>
            <w:tcW w:w="2240" w:type="dxa"/>
            <w:vAlign w:val="bottom"/>
            <w:shd w:val="clear" w:color="auto" w:fill="E3ECF0"/>
          </w:tcPr>
          <w:p>
            <w:pPr>
              <w:spacing w:after="0"/>
              <w:rPr>
                <w:sz w:val="23"/>
                <w:szCs w:val="23"/>
                <w:color w:val="auto"/>
              </w:rPr>
            </w:pPr>
          </w:p>
        </w:tc>
        <w:tc>
          <w:tcPr>
            <w:tcW w:w="940" w:type="dxa"/>
            <w:vAlign w:val="bottom"/>
            <w:tcBorders>
              <w:right w:val="single" w:sz="8" w:color="47829E"/>
            </w:tcBorders>
            <w:shd w:val="clear" w:color="auto" w:fill="E3ECF0"/>
          </w:tcPr>
          <w:p>
            <w:pPr>
              <w:spacing w:after="0"/>
              <w:rPr>
                <w:sz w:val="23"/>
                <w:szCs w:val="23"/>
                <w:color w:val="auto"/>
              </w:rPr>
            </w:pPr>
          </w:p>
        </w:tc>
        <w:tc>
          <w:tcPr>
            <w:tcW w:w="940" w:type="dxa"/>
            <w:vAlign w:val="bottom"/>
            <w:tcBorders>
              <w:right w:val="single" w:sz="8" w:color="47829E"/>
            </w:tcBorders>
            <w:shd w:val="clear" w:color="auto" w:fill="E3ECF0"/>
          </w:tcPr>
          <w:p>
            <w:pPr>
              <w:spacing w:after="0"/>
              <w:rPr>
                <w:sz w:val="23"/>
                <w:szCs w:val="23"/>
                <w:color w:val="auto"/>
              </w:rPr>
            </w:pPr>
          </w:p>
        </w:tc>
        <w:tc>
          <w:tcPr>
            <w:tcW w:w="1220" w:type="dxa"/>
            <w:vAlign w:val="bottom"/>
            <w:tcBorders>
              <w:right w:val="single" w:sz="8" w:color="47829E"/>
            </w:tcBorders>
            <w:shd w:val="clear" w:color="auto" w:fill="E3ECF0"/>
          </w:tcPr>
          <w:p>
            <w:pPr>
              <w:spacing w:after="0"/>
              <w:rPr>
                <w:sz w:val="23"/>
                <w:szCs w:val="23"/>
                <w:color w:val="auto"/>
              </w:rPr>
            </w:pPr>
          </w:p>
        </w:tc>
        <w:tc>
          <w:tcPr>
            <w:tcW w:w="920" w:type="dxa"/>
            <w:vAlign w:val="bottom"/>
            <w:tcBorders>
              <w:right w:val="single" w:sz="8" w:color="47829E"/>
            </w:tcBorders>
            <w:shd w:val="clear" w:color="auto" w:fill="E3ECF0"/>
          </w:tcPr>
          <w:p>
            <w:pPr>
              <w:spacing w:after="0"/>
              <w:rPr>
                <w:sz w:val="23"/>
                <w:szCs w:val="23"/>
                <w:color w:val="auto"/>
              </w:rPr>
            </w:pPr>
          </w:p>
        </w:tc>
        <w:tc>
          <w:tcPr>
            <w:tcW w:w="940" w:type="dxa"/>
            <w:vAlign w:val="bottom"/>
            <w:tcBorders>
              <w:right w:val="single" w:sz="8" w:color="47829E"/>
            </w:tcBorders>
            <w:shd w:val="clear" w:color="auto" w:fill="E3ECF0"/>
          </w:tcPr>
          <w:p>
            <w:pPr>
              <w:spacing w:after="0"/>
              <w:rPr>
                <w:sz w:val="23"/>
                <w:szCs w:val="23"/>
                <w:color w:val="auto"/>
              </w:rPr>
            </w:pPr>
          </w:p>
        </w:tc>
        <w:tc>
          <w:tcPr>
            <w:tcW w:w="1080" w:type="dxa"/>
            <w:vAlign w:val="bottom"/>
            <w:tcBorders>
              <w:right w:val="single" w:sz="8" w:color="47829E"/>
            </w:tcBorders>
            <w:shd w:val="clear" w:color="auto" w:fill="E3ECF0"/>
          </w:tcPr>
          <w:p>
            <w:pPr>
              <w:spacing w:after="0"/>
              <w:rPr>
                <w:sz w:val="23"/>
                <w:szCs w:val="23"/>
                <w:color w:val="auto"/>
              </w:rPr>
            </w:pPr>
          </w:p>
        </w:tc>
        <w:tc>
          <w:tcPr>
            <w:tcW w:w="1120" w:type="dxa"/>
            <w:vAlign w:val="bottom"/>
            <w:tcBorders>
              <w:right w:val="single" w:sz="8" w:color="47829E"/>
            </w:tcBorders>
            <w:shd w:val="clear" w:color="auto" w:fill="E3ECF0"/>
          </w:tcPr>
          <w:p>
            <w:pPr>
              <w:spacing w:after="0"/>
              <w:rPr>
                <w:sz w:val="23"/>
                <w:szCs w:val="23"/>
                <w:color w:val="auto"/>
              </w:rPr>
            </w:pPr>
          </w:p>
        </w:tc>
      </w:tr>
      <w:tr>
        <w:trPr>
          <w:trHeight w:val="162"/>
        </w:trPr>
        <w:tc>
          <w:tcPr>
            <w:tcW w:w="2040" w:type="dxa"/>
            <w:vAlign w:val="bottom"/>
            <w:tcBorders>
              <w:left w:val="single" w:sz="8" w:color="47829E"/>
            </w:tcBorders>
          </w:tcPr>
          <w:p>
            <w:pPr>
              <w:ind w:left="120"/>
              <w:spacing w:after="0"/>
              <w:rPr>
                <w:sz w:val="20"/>
                <w:szCs w:val="20"/>
                <w:color w:val="auto"/>
              </w:rPr>
            </w:pPr>
            <w:r>
              <w:rPr>
                <w:rFonts w:ascii="Arial" w:cs="Arial" w:eastAsia="Arial" w:hAnsi="Arial"/>
                <w:sz w:val="14"/>
                <w:szCs w:val="14"/>
                <w:color w:val="auto"/>
              </w:rPr>
              <w:t>Dennis L. Rediker</w:t>
            </w:r>
          </w:p>
        </w:tc>
        <w:tc>
          <w:tcPr>
            <w:tcW w:w="2240" w:type="dxa"/>
            <w:vAlign w:val="bottom"/>
          </w:tcPr>
          <w:p>
            <w:pPr>
              <w:spacing w:after="0"/>
              <w:rPr>
                <w:sz w:val="14"/>
                <w:szCs w:val="14"/>
                <w:color w:val="auto"/>
              </w:rPr>
            </w:pPr>
          </w:p>
        </w:tc>
        <w:tc>
          <w:tcPr>
            <w:tcW w:w="940" w:type="dxa"/>
            <w:vAlign w:val="bottom"/>
            <w:tcBorders>
              <w:right w:val="single" w:sz="8" w:color="47829E"/>
            </w:tcBorders>
          </w:tcPr>
          <w:p>
            <w:pPr>
              <w:spacing w:after="0"/>
              <w:rPr>
                <w:sz w:val="14"/>
                <w:szCs w:val="14"/>
                <w:color w:val="auto"/>
              </w:rPr>
            </w:pPr>
          </w:p>
        </w:tc>
        <w:tc>
          <w:tcPr>
            <w:tcW w:w="940" w:type="dxa"/>
            <w:vAlign w:val="bottom"/>
            <w:tcBorders>
              <w:right w:val="single" w:sz="8" w:color="47829E"/>
            </w:tcBorders>
          </w:tcPr>
          <w:p>
            <w:pPr>
              <w:spacing w:after="0"/>
              <w:rPr>
                <w:sz w:val="14"/>
                <w:szCs w:val="14"/>
                <w:color w:val="auto"/>
              </w:rPr>
            </w:pPr>
          </w:p>
        </w:tc>
        <w:tc>
          <w:tcPr>
            <w:tcW w:w="1220" w:type="dxa"/>
            <w:vAlign w:val="bottom"/>
            <w:tcBorders>
              <w:right w:val="single" w:sz="8" w:color="47829E"/>
            </w:tcBorders>
          </w:tcPr>
          <w:p>
            <w:pPr>
              <w:spacing w:after="0"/>
              <w:rPr>
                <w:sz w:val="14"/>
                <w:szCs w:val="14"/>
                <w:color w:val="auto"/>
              </w:rPr>
            </w:pPr>
          </w:p>
        </w:tc>
        <w:tc>
          <w:tcPr>
            <w:tcW w:w="920" w:type="dxa"/>
            <w:vAlign w:val="bottom"/>
            <w:tcBorders>
              <w:right w:val="single" w:sz="8" w:color="47829E"/>
            </w:tcBorders>
          </w:tcPr>
          <w:p>
            <w:pPr>
              <w:spacing w:after="0"/>
              <w:rPr>
                <w:sz w:val="14"/>
                <w:szCs w:val="14"/>
                <w:color w:val="auto"/>
              </w:rPr>
            </w:pPr>
          </w:p>
        </w:tc>
        <w:tc>
          <w:tcPr>
            <w:tcW w:w="940" w:type="dxa"/>
            <w:vAlign w:val="bottom"/>
            <w:tcBorders>
              <w:right w:val="single" w:sz="8" w:color="47829E"/>
            </w:tcBorders>
          </w:tcPr>
          <w:p>
            <w:pPr>
              <w:spacing w:after="0"/>
              <w:rPr>
                <w:sz w:val="14"/>
                <w:szCs w:val="14"/>
                <w:color w:val="auto"/>
              </w:rPr>
            </w:pPr>
          </w:p>
        </w:tc>
        <w:tc>
          <w:tcPr>
            <w:tcW w:w="1080" w:type="dxa"/>
            <w:vAlign w:val="bottom"/>
            <w:tcBorders>
              <w:right w:val="single" w:sz="8" w:color="47829E"/>
            </w:tcBorders>
          </w:tcPr>
          <w:p>
            <w:pPr>
              <w:spacing w:after="0"/>
              <w:rPr>
                <w:sz w:val="14"/>
                <w:szCs w:val="14"/>
                <w:color w:val="auto"/>
              </w:rPr>
            </w:pPr>
          </w:p>
        </w:tc>
        <w:tc>
          <w:tcPr>
            <w:tcW w:w="1120" w:type="dxa"/>
            <w:vAlign w:val="bottom"/>
            <w:tcBorders>
              <w:right w:val="single" w:sz="8" w:color="47829E"/>
            </w:tcBorders>
          </w:tcPr>
          <w:p>
            <w:pPr>
              <w:spacing w:after="0"/>
              <w:rPr>
                <w:sz w:val="14"/>
                <w:szCs w:val="14"/>
                <w:color w:val="auto"/>
              </w:rPr>
            </w:pPr>
          </w:p>
        </w:tc>
      </w:tr>
      <w:tr>
        <w:trPr>
          <w:trHeight w:val="108"/>
        </w:trPr>
        <w:tc>
          <w:tcPr>
            <w:tcW w:w="2040" w:type="dxa"/>
            <w:vAlign w:val="bottom"/>
            <w:tcBorders>
              <w:left w:val="single" w:sz="8" w:color="47829E"/>
            </w:tcBorders>
          </w:tcPr>
          <w:p>
            <w:pPr>
              <w:spacing w:after="0"/>
              <w:rPr>
                <w:sz w:val="9"/>
                <w:szCs w:val="9"/>
                <w:color w:val="auto"/>
              </w:rPr>
            </w:pPr>
          </w:p>
        </w:tc>
        <w:tc>
          <w:tcPr>
            <w:tcW w:w="2240" w:type="dxa"/>
            <w:vAlign w:val="bottom"/>
          </w:tcPr>
          <w:p>
            <w:pPr>
              <w:spacing w:after="0"/>
              <w:rPr>
                <w:sz w:val="9"/>
                <w:szCs w:val="9"/>
                <w:color w:val="auto"/>
              </w:rPr>
            </w:pPr>
          </w:p>
        </w:tc>
        <w:tc>
          <w:tcPr>
            <w:tcW w:w="940" w:type="dxa"/>
            <w:vAlign w:val="bottom"/>
            <w:tcBorders>
              <w:right w:val="single" w:sz="8" w:color="47829E"/>
            </w:tcBorders>
          </w:tcPr>
          <w:p>
            <w:pPr>
              <w:spacing w:after="0"/>
              <w:rPr>
                <w:sz w:val="9"/>
                <w:szCs w:val="9"/>
                <w:color w:val="auto"/>
              </w:rPr>
            </w:pPr>
          </w:p>
        </w:tc>
        <w:tc>
          <w:tcPr>
            <w:tcW w:w="940" w:type="dxa"/>
            <w:vAlign w:val="bottom"/>
            <w:tcBorders>
              <w:right w:val="single" w:sz="8" w:color="47829E"/>
            </w:tcBorders>
          </w:tcPr>
          <w:p>
            <w:pPr>
              <w:spacing w:after="0"/>
              <w:rPr>
                <w:sz w:val="9"/>
                <w:szCs w:val="9"/>
                <w:color w:val="auto"/>
              </w:rPr>
            </w:pPr>
          </w:p>
        </w:tc>
        <w:tc>
          <w:tcPr>
            <w:tcW w:w="1220" w:type="dxa"/>
            <w:vAlign w:val="bottom"/>
            <w:tcBorders>
              <w:right w:val="single" w:sz="8" w:color="47829E"/>
            </w:tcBorders>
          </w:tcPr>
          <w:p>
            <w:pPr>
              <w:spacing w:after="0"/>
              <w:rPr>
                <w:sz w:val="9"/>
                <w:szCs w:val="9"/>
                <w:color w:val="auto"/>
              </w:rPr>
            </w:pPr>
          </w:p>
        </w:tc>
        <w:tc>
          <w:tcPr>
            <w:tcW w:w="920" w:type="dxa"/>
            <w:vAlign w:val="bottom"/>
            <w:tcBorders>
              <w:right w:val="single" w:sz="8" w:color="47829E"/>
            </w:tcBorders>
          </w:tcPr>
          <w:p>
            <w:pPr>
              <w:spacing w:after="0"/>
              <w:rPr>
                <w:sz w:val="9"/>
                <w:szCs w:val="9"/>
                <w:color w:val="auto"/>
              </w:rPr>
            </w:pPr>
          </w:p>
        </w:tc>
        <w:tc>
          <w:tcPr>
            <w:tcW w:w="940" w:type="dxa"/>
            <w:vAlign w:val="bottom"/>
            <w:tcBorders>
              <w:right w:val="single" w:sz="8" w:color="47829E"/>
            </w:tcBorders>
          </w:tcPr>
          <w:p>
            <w:pPr>
              <w:spacing w:after="0"/>
              <w:rPr>
                <w:sz w:val="9"/>
                <w:szCs w:val="9"/>
                <w:color w:val="auto"/>
              </w:rPr>
            </w:pPr>
          </w:p>
        </w:tc>
        <w:tc>
          <w:tcPr>
            <w:tcW w:w="1080" w:type="dxa"/>
            <w:vAlign w:val="bottom"/>
            <w:tcBorders>
              <w:right w:val="single" w:sz="8" w:color="47829E"/>
            </w:tcBorders>
          </w:tcPr>
          <w:p>
            <w:pPr>
              <w:spacing w:after="0"/>
              <w:rPr>
                <w:sz w:val="9"/>
                <w:szCs w:val="9"/>
                <w:color w:val="auto"/>
              </w:rPr>
            </w:pPr>
          </w:p>
        </w:tc>
        <w:tc>
          <w:tcPr>
            <w:tcW w:w="1120" w:type="dxa"/>
            <w:vAlign w:val="bottom"/>
            <w:tcBorders>
              <w:right w:val="single" w:sz="8" w:color="47829E"/>
            </w:tcBorders>
          </w:tcPr>
          <w:p>
            <w:pPr>
              <w:spacing w:after="0"/>
              <w:rPr>
                <w:sz w:val="9"/>
                <w:szCs w:val="9"/>
                <w:color w:val="auto"/>
              </w:rPr>
            </w:pPr>
          </w:p>
        </w:tc>
      </w:tr>
      <w:tr>
        <w:trPr>
          <w:trHeight w:val="162"/>
        </w:trPr>
        <w:tc>
          <w:tcPr>
            <w:tcW w:w="2040" w:type="dxa"/>
            <w:vAlign w:val="bottom"/>
            <w:tcBorders>
              <w:left w:val="single" w:sz="8" w:color="47829E"/>
            </w:tcBorders>
            <w:shd w:val="clear" w:color="auto" w:fill="E3ECF0"/>
          </w:tcPr>
          <w:p>
            <w:pPr>
              <w:ind w:left="120"/>
              <w:spacing w:after="0"/>
              <w:rPr>
                <w:sz w:val="20"/>
                <w:szCs w:val="20"/>
                <w:color w:val="auto"/>
              </w:rPr>
            </w:pPr>
            <w:r>
              <w:rPr>
                <w:rFonts w:ascii="Arial" w:cs="Arial" w:eastAsia="Arial" w:hAnsi="Arial"/>
                <w:sz w:val="14"/>
                <w:szCs w:val="14"/>
                <w:color w:val="auto"/>
              </w:rPr>
              <w:t>Richard A. Vinroot</w:t>
            </w:r>
          </w:p>
        </w:tc>
        <w:tc>
          <w:tcPr>
            <w:tcW w:w="2240" w:type="dxa"/>
            <w:vAlign w:val="bottom"/>
            <w:shd w:val="clear" w:color="auto" w:fill="E3ECF0"/>
          </w:tcPr>
          <w:p>
            <w:pPr>
              <w:spacing w:after="0"/>
              <w:rPr>
                <w:sz w:val="14"/>
                <w:szCs w:val="14"/>
                <w:color w:val="auto"/>
              </w:rPr>
            </w:pPr>
          </w:p>
        </w:tc>
        <w:tc>
          <w:tcPr>
            <w:tcW w:w="940" w:type="dxa"/>
            <w:vAlign w:val="bottom"/>
            <w:tcBorders>
              <w:right w:val="single" w:sz="8" w:color="47829E"/>
            </w:tcBorders>
            <w:shd w:val="clear" w:color="auto" w:fill="E3ECF0"/>
          </w:tcPr>
          <w:p>
            <w:pPr>
              <w:spacing w:after="0"/>
              <w:rPr>
                <w:sz w:val="14"/>
                <w:szCs w:val="14"/>
                <w:color w:val="auto"/>
              </w:rPr>
            </w:pPr>
          </w:p>
        </w:tc>
        <w:tc>
          <w:tcPr>
            <w:tcW w:w="940" w:type="dxa"/>
            <w:vAlign w:val="bottom"/>
            <w:tcBorders>
              <w:right w:val="single" w:sz="8" w:color="47829E"/>
            </w:tcBorders>
            <w:shd w:val="clear" w:color="auto" w:fill="E3ECF0"/>
          </w:tcPr>
          <w:p>
            <w:pPr>
              <w:spacing w:after="0"/>
              <w:rPr>
                <w:sz w:val="14"/>
                <w:szCs w:val="14"/>
                <w:color w:val="auto"/>
              </w:rPr>
            </w:pPr>
          </w:p>
        </w:tc>
        <w:tc>
          <w:tcPr>
            <w:tcW w:w="1220" w:type="dxa"/>
            <w:vAlign w:val="bottom"/>
            <w:tcBorders>
              <w:right w:val="single" w:sz="8" w:color="47829E"/>
            </w:tcBorders>
            <w:shd w:val="clear" w:color="auto" w:fill="E3ECF0"/>
          </w:tcPr>
          <w:p>
            <w:pPr>
              <w:spacing w:after="0"/>
              <w:rPr>
                <w:sz w:val="14"/>
                <w:szCs w:val="14"/>
                <w:color w:val="auto"/>
              </w:rPr>
            </w:pPr>
          </w:p>
        </w:tc>
        <w:tc>
          <w:tcPr>
            <w:tcW w:w="920" w:type="dxa"/>
            <w:vAlign w:val="bottom"/>
            <w:tcBorders>
              <w:right w:val="single" w:sz="8" w:color="47829E"/>
            </w:tcBorders>
            <w:shd w:val="clear" w:color="auto" w:fill="E3ECF0"/>
          </w:tcPr>
          <w:p>
            <w:pPr>
              <w:spacing w:after="0"/>
              <w:rPr>
                <w:sz w:val="14"/>
                <w:szCs w:val="14"/>
                <w:color w:val="auto"/>
              </w:rPr>
            </w:pPr>
          </w:p>
        </w:tc>
        <w:tc>
          <w:tcPr>
            <w:tcW w:w="940" w:type="dxa"/>
            <w:vAlign w:val="bottom"/>
            <w:tcBorders>
              <w:right w:val="single" w:sz="8" w:color="47829E"/>
            </w:tcBorders>
            <w:shd w:val="clear" w:color="auto" w:fill="E3ECF0"/>
          </w:tcPr>
          <w:p>
            <w:pPr>
              <w:spacing w:after="0"/>
              <w:rPr>
                <w:sz w:val="14"/>
                <w:szCs w:val="14"/>
                <w:color w:val="auto"/>
              </w:rPr>
            </w:pPr>
          </w:p>
        </w:tc>
        <w:tc>
          <w:tcPr>
            <w:tcW w:w="1080" w:type="dxa"/>
            <w:vAlign w:val="bottom"/>
            <w:tcBorders>
              <w:right w:val="single" w:sz="8" w:color="47829E"/>
            </w:tcBorders>
            <w:shd w:val="clear" w:color="auto" w:fill="E3ECF0"/>
          </w:tcPr>
          <w:p>
            <w:pPr>
              <w:spacing w:after="0"/>
              <w:rPr>
                <w:sz w:val="14"/>
                <w:szCs w:val="14"/>
                <w:color w:val="auto"/>
              </w:rPr>
            </w:pPr>
          </w:p>
        </w:tc>
        <w:tc>
          <w:tcPr>
            <w:tcW w:w="1120" w:type="dxa"/>
            <w:vAlign w:val="bottom"/>
            <w:tcBorders>
              <w:right w:val="single" w:sz="8" w:color="47829E"/>
            </w:tcBorders>
            <w:shd w:val="clear" w:color="auto" w:fill="E3ECF0"/>
          </w:tcPr>
          <w:p>
            <w:pPr>
              <w:spacing w:after="0"/>
              <w:rPr>
                <w:sz w:val="14"/>
                <w:szCs w:val="14"/>
                <w:color w:val="auto"/>
              </w:rPr>
            </w:pPr>
          </w:p>
        </w:tc>
      </w:tr>
      <w:tr>
        <w:trPr>
          <w:trHeight w:val="108"/>
        </w:trPr>
        <w:tc>
          <w:tcPr>
            <w:tcW w:w="2040" w:type="dxa"/>
            <w:vAlign w:val="bottom"/>
            <w:tcBorders>
              <w:left w:val="single" w:sz="8" w:color="47829E"/>
            </w:tcBorders>
            <w:shd w:val="clear" w:color="auto" w:fill="E3ECF0"/>
          </w:tcPr>
          <w:p>
            <w:pPr>
              <w:spacing w:after="0"/>
              <w:rPr>
                <w:sz w:val="9"/>
                <w:szCs w:val="9"/>
                <w:color w:val="auto"/>
              </w:rPr>
            </w:pPr>
          </w:p>
        </w:tc>
        <w:tc>
          <w:tcPr>
            <w:tcW w:w="2240" w:type="dxa"/>
            <w:vAlign w:val="bottom"/>
            <w:shd w:val="clear" w:color="auto" w:fill="E3ECF0"/>
          </w:tcPr>
          <w:p>
            <w:pPr>
              <w:spacing w:after="0"/>
              <w:rPr>
                <w:sz w:val="9"/>
                <w:szCs w:val="9"/>
                <w:color w:val="auto"/>
              </w:rPr>
            </w:pPr>
          </w:p>
        </w:tc>
        <w:tc>
          <w:tcPr>
            <w:tcW w:w="940" w:type="dxa"/>
            <w:vAlign w:val="bottom"/>
            <w:tcBorders>
              <w:right w:val="single" w:sz="8" w:color="47829E"/>
            </w:tcBorders>
            <w:shd w:val="clear" w:color="auto" w:fill="E3ECF0"/>
          </w:tcPr>
          <w:p>
            <w:pPr>
              <w:spacing w:after="0"/>
              <w:rPr>
                <w:sz w:val="9"/>
                <w:szCs w:val="9"/>
                <w:color w:val="auto"/>
              </w:rPr>
            </w:pPr>
          </w:p>
        </w:tc>
        <w:tc>
          <w:tcPr>
            <w:tcW w:w="940" w:type="dxa"/>
            <w:vAlign w:val="bottom"/>
            <w:tcBorders>
              <w:right w:val="single" w:sz="8" w:color="47829E"/>
            </w:tcBorders>
            <w:shd w:val="clear" w:color="auto" w:fill="E3ECF0"/>
          </w:tcPr>
          <w:p>
            <w:pPr>
              <w:spacing w:after="0"/>
              <w:rPr>
                <w:sz w:val="9"/>
                <w:szCs w:val="9"/>
                <w:color w:val="auto"/>
              </w:rPr>
            </w:pPr>
          </w:p>
        </w:tc>
        <w:tc>
          <w:tcPr>
            <w:tcW w:w="1220" w:type="dxa"/>
            <w:vAlign w:val="bottom"/>
            <w:tcBorders>
              <w:right w:val="single" w:sz="8" w:color="47829E"/>
            </w:tcBorders>
            <w:shd w:val="clear" w:color="auto" w:fill="E3ECF0"/>
          </w:tcPr>
          <w:p>
            <w:pPr>
              <w:spacing w:after="0"/>
              <w:rPr>
                <w:sz w:val="9"/>
                <w:szCs w:val="9"/>
                <w:color w:val="auto"/>
              </w:rPr>
            </w:pPr>
          </w:p>
        </w:tc>
        <w:tc>
          <w:tcPr>
            <w:tcW w:w="920" w:type="dxa"/>
            <w:vAlign w:val="bottom"/>
            <w:tcBorders>
              <w:right w:val="single" w:sz="8" w:color="47829E"/>
            </w:tcBorders>
            <w:shd w:val="clear" w:color="auto" w:fill="E3ECF0"/>
          </w:tcPr>
          <w:p>
            <w:pPr>
              <w:spacing w:after="0"/>
              <w:rPr>
                <w:sz w:val="9"/>
                <w:szCs w:val="9"/>
                <w:color w:val="auto"/>
              </w:rPr>
            </w:pPr>
          </w:p>
        </w:tc>
        <w:tc>
          <w:tcPr>
            <w:tcW w:w="940" w:type="dxa"/>
            <w:vAlign w:val="bottom"/>
            <w:tcBorders>
              <w:right w:val="single" w:sz="8" w:color="47829E"/>
            </w:tcBorders>
            <w:shd w:val="clear" w:color="auto" w:fill="E3ECF0"/>
          </w:tcPr>
          <w:p>
            <w:pPr>
              <w:spacing w:after="0"/>
              <w:rPr>
                <w:sz w:val="9"/>
                <w:szCs w:val="9"/>
                <w:color w:val="auto"/>
              </w:rPr>
            </w:pPr>
          </w:p>
        </w:tc>
        <w:tc>
          <w:tcPr>
            <w:tcW w:w="1080" w:type="dxa"/>
            <w:vAlign w:val="bottom"/>
            <w:tcBorders>
              <w:right w:val="single" w:sz="8" w:color="47829E"/>
            </w:tcBorders>
            <w:shd w:val="clear" w:color="auto" w:fill="E3ECF0"/>
          </w:tcPr>
          <w:p>
            <w:pPr>
              <w:spacing w:after="0"/>
              <w:rPr>
                <w:sz w:val="9"/>
                <w:szCs w:val="9"/>
                <w:color w:val="auto"/>
              </w:rPr>
            </w:pPr>
          </w:p>
        </w:tc>
        <w:tc>
          <w:tcPr>
            <w:tcW w:w="1120" w:type="dxa"/>
            <w:vAlign w:val="bottom"/>
            <w:tcBorders>
              <w:right w:val="single" w:sz="8" w:color="47829E"/>
            </w:tcBorders>
            <w:shd w:val="clear" w:color="auto" w:fill="E3ECF0"/>
          </w:tcPr>
          <w:p>
            <w:pPr>
              <w:spacing w:after="0"/>
              <w:rPr>
                <w:sz w:val="9"/>
                <w:szCs w:val="9"/>
                <w:color w:val="auto"/>
              </w:rPr>
            </w:pPr>
          </w:p>
        </w:tc>
      </w:tr>
      <w:tr>
        <w:trPr>
          <w:trHeight w:val="162"/>
        </w:trPr>
        <w:tc>
          <w:tcPr>
            <w:tcW w:w="2040" w:type="dxa"/>
            <w:vAlign w:val="bottom"/>
            <w:tcBorders>
              <w:left w:val="single" w:sz="8" w:color="47829E"/>
            </w:tcBorders>
          </w:tcPr>
          <w:p>
            <w:pPr>
              <w:ind w:left="120"/>
              <w:spacing w:after="0"/>
              <w:rPr>
                <w:sz w:val="20"/>
                <w:szCs w:val="20"/>
                <w:color w:val="auto"/>
              </w:rPr>
            </w:pPr>
            <w:r>
              <w:rPr>
                <w:rFonts w:ascii="Arial" w:cs="Arial" w:eastAsia="Arial" w:hAnsi="Arial"/>
                <w:sz w:val="14"/>
                <w:szCs w:val="14"/>
                <w:color w:val="auto"/>
              </w:rPr>
              <w:t>Stephen P. Zelnak, Jr.</w:t>
            </w:r>
          </w:p>
        </w:tc>
        <w:tc>
          <w:tcPr>
            <w:tcW w:w="2240" w:type="dxa"/>
            <w:vAlign w:val="bottom"/>
          </w:tcPr>
          <w:p>
            <w:pPr>
              <w:spacing w:after="0"/>
              <w:rPr>
                <w:sz w:val="14"/>
                <w:szCs w:val="14"/>
                <w:color w:val="auto"/>
              </w:rPr>
            </w:pPr>
          </w:p>
        </w:tc>
        <w:tc>
          <w:tcPr>
            <w:tcW w:w="940" w:type="dxa"/>
            <w:vAlign w:val="bottom"/>
            <w:tcBorders>
              <w:right w:val="single" w:sz="8" w:color="47829E"/>
            </w:tcBorders>
          </w:tcPr>
          <w:p>
            <w:pPr>
              <w:spacing w:after="0"/>
              <w:rPr>
                <w:sz w:val="14"/>
                <w:szCs w:val="14"/>
                <w:color w:val="auto"/>
              </w:rPr>
            </w:pPr>
          </w:p>
        </w:tc>
        <w:tc>
          <w:tcPr>
            <w:tcW w:w="940" w:type="dxa"/>
            <w:vAlign w:val="bottom"/>
            <w:tcBorders>
              <w:right w:val="single" w:sz="8" w:color="47829E"/>
            </w:tcBorders>
          </w:tcPr>
          <w:p>
            <w:pPr>
              <w:spacing w:after="0"/>
              <w:rPr>
                <w:sz w:val="14"/>
                <w:szCs w:val="14"/>
                <w:color w:val="auto"/>
              </w:rPr>
            </w:pPr>
          </w:p>
        </w:tc>
        <w:tc>
          <w:tcPr>
            <w:tcW w:w="1220" w:type="dxa"/>
            <w:vAlign w:val="bottom"/>
            <w:tcBorders>
              <w:right w:val="single" w:sz="8" w:color="47829E"/>
            </w:tcBorders>
          </w:tcPr>
          <w:p>
            <w:pPr>
              <w:spacing w:after="0"/>
              <w:rPr>
                <w:sz w:val="14"/>
                <w:szCs w:val="14"/>
                <w:color w:val="auto"/>
              </w:rPr>
            </w:pPr>
          </w:p>
        </w:tc>
        <w:tc>
          <w:tcPr>
            <w:tcW w:w="920" w:type="dxa"/>
            <w:vAlign w:val="bottom"/>
            <w:tcBorders>
              <w:right w:val="single" w:sz="8" w:color="47829E"/>
            </w:tcBorders>
          </w:tcPr>
          <w:p>
            <w:pPr>
              <w:spacing w:after="0"/>
              <w:rPr>
                <w:sz w:val="14"/>
                <w:szCs w:val="14"/>
                <w:color w:val="auto"/>
              </w:rPr>
            </w:pPr>
          </w:p>
        </w:tc>
        <w:tc>
          <w:tcPr>
            <w:tcW w:w="940" w:type="dxa"/>
            <w:vAlign w:val="bottom"/>
            <w:tcBorders>
              <w:right w:val="single" w:sz="8" w:color="47829E"/>
            </w:tcBorders>
          </w:tcPr>
          <w:p>
            <w:pPr>
              <w:spacing w:after="0"/>
              <w:rPr>
                <w:sz w:val="14"/>
                <w:szCs w:val="14"/>
                <w:color w:val="auto"/>
              </w:rPr>
            </w:pPr>
          </w:p>
        </w:tc>
        <w:tc>
          <w:tcPr>
            <w:tcW w:w="1080" w:type="dxa"/>
            <w:vAlign w:val="bottom"/>
            <w:tcBorders>
              <w:right w:val="single" w:sz="8" w:color="47829E"/>
            </w:tcBorders>
          </w:tcPr>
          <w:p>
            <w:pPr>
              <w:spacing w:after="0"/>
              <w:rPr>
                <w:sz w:val="14"/>
                <w:szCs w:val="14"/>
                <w:color w:val="auto"/>
              </w:rPr>
            </w:pPr>
          </w:p>
        </w:tc>
        <w:tc>
          <w:tcPr>
            <w:tcW w:w="1120" w:type="dxa"/>
            <w:vAlign w:val="bottom"/>
            <w:tcBorders>
              <w:right w:val="single" w:sz="8" w:color="47829E"/>
            </w:tcBorders>
          </w:tcPr>
          <w:p>
            <w:pPr>
              <w:spacing w:after="0"/>
              <w:rPr>
                <w:sz w:val="14"/>
                <w:szCs w:val="14"/>
                <w:color w:val="auto"/>
              </w:rPr>
            </w:pPr>
          </w:p>
        </w:tc>
      </w:tr>
      <w:tr>
        <w:trPr>
          <w:trHeight w:val="108"/>
        </w:trPr>
        <w:tc>
          <w:tcPr>
            <w:tcW w:w="2040" w:type="dxa"/>
            <w:vAlign w:val="bottom"/>
            <w:tcBorders>
              <w:left w:val="single" w:sz="8" w:color="47829E"/>
              <w:bottom w:val="single" w:sz="8" w:color="47829E"/>
            </w:tcBorders>
          </w:tcPr>
          <w:p>
            <w:pPr>
              <w:spacing w:after="0"/>
              <w:rPr>
                <w:sz w:val="9"/>
                <w:szCs w:val="9"/>
                <w:color w:val="auto"/>
              </w:rPr>
            </w:pPr>
          </w:p>
        </w:tc>
        <w:tc>
          <w:tcPr>
            <w:tcW w:w="2240" w:type="dxa"/>
            <w:vAlign w:val="bottom"/>
            <w:tcBorders>
              <w:bottom w:val="single" w:sz="8" w:color="47829E"/>
            </w:tcBorders>
          </w:tcPr>
          <w:p>
            <w:pPr>
              <w:spacing w:after="0"/>
              <w:rPr>
                <w:sz w:val="9"/>
                <w:szCs w:val="9"/>
                <w:color w:val="auto"/>
              </w:rPr>
            </w:pPr>
          </w:p>
        </w:tc>
        <w:tc>
          <w:tcPr>
            <w:tcW w:w="940" w:type="dxa"/>
            <w:vAlign w:val="bottom"/>
            <w:tcBorders>
              <w:bottom w:val="single" w:sz="8" w:color="47829E"/>
              <w:right w:val="single" w:sz="8" w:color="47829E"/>
            </w:tcBorders>
          </w:tcPr>
          <w:p>
            <w:pPr>
              <w:spacing w:after="0"/>
              <w:rPr>
                <w:sz w:val="9"/>
                <w:szCs w:val="9"/>
                <w:color w:val="auto"/>
              </w:rPr>
            </w:pPr>
          </w:p>
        </w:tc>
        <w:tc>
          <w:tcPr>
            <w:tcW w:w="940" w:type="dxa"/>
            <w:vAlign w:val="bottom"/>
            <w:tcBorders>
              <w:bottom w:val="single" w:sz="8" w:color="47829E"/>
              <w:right w:val="single" w:sz="8" w:color="47829E"/>
            </w:tcBorders>
          </w:tcPr>
          <w:p>
            <w:pPr>
              <w:spacing w:after="0"/>
              <w:rPr>
                <w:sz w:val="9"/>
                <w:szCs w:val="9"/>
                <w:color w:val="auto"/>
              </w:rPr>
            </w:pPr>
          </w:p>
        </w:tc>
        <w:tc>
          <w:tcPr>
            <w:tcW w:w="1220" w:type="dxa"/>
            <w:vAlign w:val="bottom"/>
            <w:tcBorders>
              <w:bottom w:val="single" w:sz="8" w:color="47829E"/>
              <w:right w:val="single" w:sz="8" w:color="47829E"/>
            </w:tcBorders>
          </w:tcPr>
          <w:p>
            <w:pPr>
              <w:spacing w:after="0"/>
              <w:rPr>
                <w:sz w:val="9"/>
                <w:szCs w:val="9"/>
                <w:color w:val="auto"/>
              </w:rPr>
            </w:pPr>
          </w:p>
        </w:tc>
        <w:tc>
          <w:tcPr>
            <w:tcW w:w="920" w:type="dxa"/>
            <w:vAlign w:val="bottom"/>
            <w:tcBorders>
              <w:bottom w:val="single" w:sz="8" w:color="47829E"/>
              <w:right w:val="single" w:sz="8" w:color="47829E"/>
            </w:tcBorders>
          </w:tcPr>
          <w:p>
            <w:pPr>
              <w:spacing w:after="0"/>
              <w:rPr>
                <w:sz w:val="9"/>
                <w:szCs w:val="9"/>
                <w:color w:val="auto"/>
              </w:rPr>
            </w:pPr>
          </w:p>
        </w:tc>
        <w:tc>
          <w:tcPr>
            <w:tcW w:w="940" w:type="dxa"/>
            <w:vAlign w:val="bottom"/>
            <w:tcBorders>
              <w:bottom w:val="single" w:sz="8" w:color="47829E"/>
              <w:right w:val="single" w:sz="8" w:color="47829E"/>
            </w:tcBorders>
          </w:tcPr>
          <w:p>
            <w:pPr>
              <w:spacing w:after="0"/>
              <w:rPr>
                <w:sz w:val="9"/>
                <w:szCs w:val="9"/>
                <w:color w:val="auto"/>
              </w:rPr>
            </w:pPr>
          </w:p>
        </w:tc>
        <w:tc>
          <w:tcPr>
            <w:tcW w:w="1080" w:type="dxa"/>
            <w:vAlign w:val="bottom"/>
            <w:tcBorders>
              <w:bottom w:val="single" w:sz="8" w:color="47829E"/>
              <w:right w:val="single" w:sz="8" w:color="47829E"/>
            </w:tcBorders>
          </w:tcPr>
          <w:p>
            <w:pPr>
              <w:spacing w:after="0"/>
              <w:rPr>
                <w:sz w:val="9"/>
                <w:szCs w:val="9"/>
                <w:color w:val="auto"/>
              </w:rPr>
            </w:pPr>
          </w:p>
        </w:tc>
        <w:tc>
          <w:tcPr>
            <w:tcW w:w="1120" w:type="dxa"/>
            <w:vAlign w:val="bottom"/>
            <w:tcBorders>
              <w:bottom w:val="single" w:sz="8" w:color="47829E"/>
              <w:right w:val="single" w:sz="8" w:color="47829E"/>
            </w:tcBorders>
          </w:tcPr>
          <w:p>
            <w:pPr>
              <w:spacing w:after="0"/>
              <w:rPr>
                <w:sz w:val="9"/>
                <w:szCs w:val="9"/>
                <w:color w:val="auto"/>
              </w:rPr>
            </w:pPr>
          </w:p>
        </w:tc>
      </w:tr>
      <w:tr>
        <w:trPr>
          <w:trHeight w:val="356"/>
        </w:trPr>
        <w:tc>
          <w:tcPr>
            <w:tcW w:w="20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80" w:type="dxa"/>
            <w:vAlign w:val="bottom"/>
            <w:gridSpan w:val="2"/>
          </w:tcPr>
          <w:p>
            <w:pPr>
              <w:jc w:val="center"/>
              <w:ind w:left="912"/>
              <w:spacing w:after="0"/>
              <w:rPr>
                <w:sz w:val="20"/>
                <w:szCs w:val="20"/>
                <w:color w:val="auto"/>
              </w:rPr>
            </w:pPr>
            <w:r>
              <w:rPr>
                <w:rFonts w:ascii="Arial" w:cs="Arial" w:eastAsia="Arial" w:hAnsi="Arial"/>
                <w:sz w:val="18"/>
                <w:szCs w:val="18"/>
                <w:color w:val="auto"/>
                <w:w w:val="99"/>
              </w:rPr>
              <w:t>17</w:t>
            </w: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-2596515</wp:posOffset>
            </wp:positionV>
            <wp:extent cx="85725" cy="94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-1953260</wp:posOffset>
            </wp:positionV>
            <wp:extent cx="7747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-1953260</wp:posOffset>
            </wp:positionV>
            <wp:extent cx="7747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-1781810</wp:posOffset>
            </wp:positionV>
            <wp:extent cx="85725" cy="94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-1781810</wp:posOffset>
            </wp:positionV>
            <wp:extent cx="7747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-1781810</wp:posOffset>
            </wp:positionV>
            <wp:extent cx="7747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-1610360</wp:posOffset>
            </wp:positionV>
            <wp:extent cx="7747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-1610360</wp:posOffset>
            </wp:positionV>
            <wp:extent cx="7747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-1610360</wp:posOffset>
            </wp:positionV>
            <wp:extent cx="7747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-1438910</wp:posOffset>
            </wp:positionV>
            <wp:extent cx="7747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-1438910</wp:posOffset>
            </wp:positionV>
            <wp:extent cx="7747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-1438910</wp:posOffset>
            </wp:positionV>
            <wp:extent cx="7747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-1438910</wp:posOffset>
            </wp:positionV>
            <wp:extent cx="7747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-1267460</wp:posOffset>
            </wp:positionV>
            <wp:extent cx="7747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-1096010</wp:posOffset>
            </wp:positionV>
            <wp:extent cx="7747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-1096010</wp:posOffset>
            </wp:positionV>
            <wp:extent cx="7747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-1096010</wp:posOffset>
            </wp:positionV>
            <wp:extent cx="7747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-924560</wp:posOffset>
            </wp:positionV>
            <wp:extent cx="7747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-924560</wp:posOffset>
            </wp:positionV>
            <wp:extent cx="7747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-924560</wp:posOffset>
            </wp:positionV>
            <wp:extent cx="7747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-924560</wp:posOffset>
            </wp:positionV>
            <wp:extent cx="7747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-752475</wp:posOffset>
            </wp:positionV>
            <wp:extent cx="7747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-752475</wp:posOffset>
            </wp:positionV>
            <wp:extent cx="7747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-752475</wp:posOffset>
            </wp:positionV>
            <wp:extent cx="7747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-581025</wp:posOffset>
            </wp:positionV>
            <wp:extent cx="7747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-581025</wp:posOffset>
            </wp:positionV>
            <wp:extent cx="7747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-409575</wp:posOffset>
            </wp:positionV>
            <wp:extent cx="7747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-409575</wp:posOffset>
            </wp:positionV>
            <wp:extent cx="7747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137160"/>
                    </a:xfrm>
                    <a:prstGeom prst="rect">
                      <a:avLst/>
                    </a:prstGeom>
                    <a:noFill/>
                  </pic:spPr>
                </pic:pic>
              </a:graphicData>
            </a:graphic>
          </wp:anchor>
        </w:drawing>
      </w:r>
    </w:p>
    <w:p>
      <w:pPr>
        <w:sectPr>
          <w:pgSz w:w="11900" w:h="16838" w:orient="portrait"/>
          <w:cols w:equalWidth="0" w:num="1">
            <w:col w:w="11440"/>
          </w:cols>
          <w:pgMar w:left="240" w:top="291" w:right="219" w:bottom="1440" w:gutter="0" w:footer="0" w:header="0"/>
        </w:sectPr>
      </w:pPr>
    </w:p>
    <w:bookmarkStart w:id="21" w:name="page22"/>
    <w:bookmarkEnd w:id="21"/>
    <w:p>
      <w:pPr>
        <w:jc w:val="both"/>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w:t>
      </w:r>
      <w:r>
        <w:rPr>
          <w:rFonts w:ascii="Arial" w:cs="Arial" w:eastAsia="Arial" w:hAnsi="Arial"/>
          <w:sz w:val="18"/>
          <w:szCs w:val="18"/>
          <w:b w:val="1"/>
          <w:bCs w:val="1"/>
          <w:color w:val="auto"/>
        </w:rPr>
        <w:t>Audit Committee</w:t>
      </w:r>
      <w:r>
        <w:rPr>
          <w:rFonts w:ascii="Arial" w:cs="Arial" w:eastAsia="Arial" w:hAnsi="Arial"/>
          <w:sz w:val="18"/>
          <w:szCs w:val="18"/>
          <w:color w:val="auto"/>
        </w:rPr>
        <w:t>, which is composed entirely of non-employee, independent Directors, held eight meetings during 2014. The Audit Committee meets periodically and separately in executive sessions with management, the independent auditors, and Martin Marietta’s internal auditors to review the activities of each. The Audit Committee possesses and may exercise the powers of the Board of Directors relating to accounting, auditing, and financial reporting matters of Martin Marietta, except when such powers are by statute or the Articles of Incorporation or Bylaws reserved to the full Board or delegated to another committee of the Board. The Audit Committee reports regularly to the full Board on these matters. The Audit Committee is directly responsible for the appointment, compensation, and oversight of Martin Marietta’s independent auditors. Among other duties, the Audit Committee:</w:t>
      </w:r>
    </w:p>
    <w:p>
      <w:pPr>
        <w:spacing w:after="0" w:line="20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selects the independent auditors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pre-approves all audit and non-audit services provided to Martin Marietta by the independent auditors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monitors the independence of the independent auditors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reviews and approves:</w:t>
      </w:r>
    </w:p>
    <w:p>
      <w:pPr>
        <w:spacing w:after="0" w:line="65"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v   the scope and timing of work to be performed by the independent auditors</w:t>
      </w:r>
    </w:p>
    <w:p>
      <w:pPr>
        <w:spacing w:after="0" w:line="102" w:lineRule="exact"/>
        <w:rPr>
          <w:sz w:val="20"/>
          <w:szCs w:val="20"/>
          <w:color w:val="auto"/>
        </w:rPr>
      </w:pPr>
    </w:p>
    <w:p>
      <w:pPr>
        <w:ind w:left="1360" w:hanging="326"/>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compensation to be paid to the independent auditors</w:t>
      </w:r>
    </w:p>
    <w:p>
      <w:pPr>
        <w:spacing w:after="0" w:line="90" w:lineRule="exact"/>
        <w:rPr>
          <w:rFonts w:ascii="Arial" w:cs="Arial" w:eastAsia="Arial" w:hAnsi="Arial"/>
          <w:sz w:val="18"/>
          <w:szCs w:val="18"/>
          <w:color w:val="auto"/>
        </w:rPr>
      </w:pPr>
    </w:p>
    <w:p>
      <w:pPr>
        <w:ind w:left="1360" w:hanging="326"/>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financial accounting and reporting principles used by Martin Marietta</w:t>
      </w:r>
    </w:p>
    <w:p>
      <w:pPr>
        <w:spacing w:after="0" w:line="90" w:lineRule="exact"/>
        <w:rPr>
          <w:rFonts w:ascii="Arial" w:cs="Arial" w:eastAsia="Arial" w:hAnsi="Arial"/>
          <w:sz w:val="18"/>
          <w:szCs w:val="18"/>
          <w:color w:val="auto"/>
        </w:rPr>
      </w:pPr>
    </w:p>
    <w:p>
      <w:pPr>
        <w:ind w:left="1360" w:hanging="326"/>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policies and procedures concerning audits, accounting, and financial controls</w:t>
      </w:r>
    </w:p>
    <w:p>
      <w:pPr>
        <w:spacing w:after="0" w:line="90" w:lineRule="exact"/>
        <w:rPr>
          <w:rFonts w:ascii="Arial" w:cs="Arial" w:eastAsia="Arial" w:hAnsi="Arial"/>
          <w:sz w:val="18"/>
          <w:szCs w:val="18"/>
          <w:color w:val="auto"/>
        </w:rPr>
      </w:pPr>
    </w:p>
    <w:p>
      <w:pPr>
        <w:ind w:left="1360" w:hanging="326"/>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recommendations to improve existing practices</w:t>
      </w:r>
    </w:p>
    <w:p>
      <w:pPr>
        <w:spacing w:after="0" w:line="90" w:lineRule="exact"/>
        <w:rPr>
          <w:rFonts w:ascii="Arial" w:cs="Arial" w:eastAsia="Arial" w:hAnsi="Arial"/>
          <w:sz w:val="18"/>
          <w:szCs w:val="18"/>
          <w:color w:val="auto"/>
        </w:rPr>
      </w:pPr>
    </w:p>
    <w:p>
      <w:pPr>
        <w:ind w:left="1360" w:hanging="326"/>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results of the audit and the reports of the independent auditors</w:t>
      </w:r>
    </w:p>
    <w:p>
      <w:pPr>
        <w:spacing w:after="0" w:line="90"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and discusses Martin Marietta’s annual audited consolidated financial statements and quarterly consolidated financial statements with management and the independent auditors</w:t>
      </w:r>
    </w:p>
    <w:p>
      <w:pPr>
        <w:spacing w:after="0" w:line="73"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and discusses management’s assessment of the effectiveness of Martin Marietta’s system of internal control over financial reporting</w:t>
      </w:r>
    </w:p>
    <w:p>
      <w:pPr>
        <w:spacing w:after="0" w:line="73"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discusses Martin Marietta’s earnings press releases, as well as financial information and earnings guidance provided to analysts and rating agencies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discusses matters related to risk assessment and risk management and how the process is handled by management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considers allegations, if ever made, of possible financial fraud or other financial improprieties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sets clear hiring policies for employees or former employees of the independent auditors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the qualifications and the plan and scope of work of the corporate internal audit function</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prepares an audit committee report as required by the SEC to be in this proxy statement</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Committee’s current members are Directors Maffucci (Chair), Menaker, Perez, and Rediker. The Board of Directors has determined that the Chair of the Audit Committee, Mr. Maffucci, qualifies as an “audit committee financial expert” as defined in rules adopted by the SEC. The Board has also determined that Mr. Maffucci, and the other members of the Audit Committee, are independent of management, as required by the rules of the NYSE, SEC, and the Board’s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w:t>
      </w:r>
    </w:p>
    <w:p>
      <w:pPr>
        <w:spacing w:after="0" w:line="133"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Ethics, Environment, Safety and Health Committee</w:t>
      </w:r>
      <w:r>
        <w:rPr>
          <w:rFonts w:ascii="Arial" w:cs="Arial" w:eastAsia="Arial" w:hAnsi="Arial"/>
          <w:sz w:val="18"/>
          <w:szCs w:val="18"/>
          <w:color w:val="auto"/>
        </w:rPr>
        <w:t xml:space="preserve"> held two meetings during 2014. It monitors compliance with Martin Marietta’s </w:t>
      </w:r>
      <w:r>
        <w:rPr>
          <w:rFonts w:ascii="Arial" w:cs="Arial" w:eastAsia="Arial" w:hAnsi="Arial"/>
          <w:sz w:val="18"/>
          <w:szCs w:val="18"/>
          <w:i w:val="1"/>
          <w:iCs w:val="1"/>
          <w:color w:val="auto"/>
        </w:rPr>
        <w:t>Code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Ethical Business Conduct </w:t>
      </w:r>
      <w:r>
        <w:rPr>
          <w:rFonts w:ascii="Arial" w:cs="Arial" w:eastAsia="Arial" w:hAnsi="Arial"/>
          <w:sz w:val="18"/>
          <w:szCs w:val="18"/>
          <w:color w:val="auto"/>
        </w:rPr>
        <w:t>and reviews all matters presented to it by the Corporate Ethics Officer concerning the ethical practices of Martin Marietta</w:t>
      </w:r>
      <w:r>
        <w:rPr>
          <w:rFonts w:ascii="Arial" w:cs="Arial" w:eastAsia="Arial" w:hAnsi="Arial"/>
          <w:sz w:val="18"/>
          <w:szCs w:val="18"/>
          <w:i w:val="1"/>
          <w:iCs w:val="1"/>
          <w:color w:val="auto"/>
        </w:rPr>
        <w:t xml:space="preserve"> </w:t>
      </w:r>
      <w:r>
        <w:rPr>
          <w:rFonts w:ascii="Arial" w:cs="Arial" w:eastAsia="Arial" w:hAnsi="Arial"/>
          <w:sz w:val="18"/>
          <w:szCs w:val="18"/>
          <w:color w:val="auto"/>
        </w:rPr>
        <w:t>and its Directors, officers, and employees, including conflicts or potential conflicts of interest between Martin Marietta and any of its Directors, officers, and employees. The Committee also reviews and monitors the adequacy of Martin Marietta’s policies and procedures and organizational structure for ensuring compliance with environmental laws and regulations, and matters relating to health and safety. The Committee’s current members are Directors Vinroot (Chair), Menaker, Perez, Quillen, Rediker, and Zelnak.</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9" w:right="239" w:bottom="1440" w:gutter="0" w:footer="0" w:header="0"/>
        </w:sectPr>
      </w:pPr>
    </w:p>
    <w:bookmarkStart w:id="22" w:name="page23"/>
    <w:bookmarkEnd w:id="22"/>
    <w:p>
      <w:pPr>
        <w:jc w:val="both"/>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w:t>
      </w:r>
      <w:r>
        <w:rPr>
          <w:rFonts w:ascii="Arial" w:cs="Arial" w:eastAsia="Arial" w:hAnsi="Arial"/>
          <w:sz w:val="18"/>
          <w:szCs w:val="18"/>
          <w:b w:val="1"/>
          <w:bCs w:val="1"/>
          <w:color w:val="auto"/>
        </w:rPr>
        <w:t>Executive Committee</w:t>
      </w:r>
      <w:r>
        <w:rPr>
          <w:rFonts w:ascii="Arial" w:cs="Arial" w:eastAsia="Arial" w:hAnsi="Arial"/>
          <w:sz w:val="18"/>
          <w:szCs w:val="18"/>
          <w:color w:val="auto"/>
        </w:rPr>
        <w:t xml:space="preserve"> held no meetings during 2014. It has the authority to act during the intervals between the meetings of the Board of Directors and may exercise the powers of the Board in the management of the business and affairs of Martin Marietta as may be authorized by the Board of Directors, except to the extent such powers are by statute, the Articles of Incorporation or Bylaws reserved to the full Board. The Committee’s current members are Directors Nye (Chair), McDonald, and Menaker.</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Finance Committee</w:t>
      </w:r>
      <w:r>
        <w:rPr>
          <w:rFonts w:ascii="Arial" w:cs="Arial" w:eastAsia="Arial" w:hAnsi="Arial"/>
          <w:sz w:val="18"/>
          <w:szCs w:val="18"/>
          <w:color w:val="auto"/>
        </w:rPr>
        <w:t xml:space="preserve"> held six meetings during 2014. It has been delegated general oversight powers related to the management of the financial affairs of Martin Marietta, including but not limited to, establishing lines of credit or other 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share repurchases, and the payment of dividends, as well as capital expenditures and the contributions budget. The Committee’s current members are Directors Perez (Chair), Maffucci, Quillen, Rediker, and Zelnak.</w:t>
      </w:r>
    </w:p>
    <w:p>
      <w:pPr>
        <w:spacing w:after="0" w:line="136"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Management Development and Compensation Committee</w:t>
      </w:r>
      <w:r>
        <w:rPr>
          <w:rFonts w:ascii="Arial" w:cs="Arial" w:eastAsia="Arial" w:hAnsi="Arial"/>
          <w:sz w:val="18"/>
          <w:szCs w:val="18"/>
          <w:color w:val="auto"/>
        </w:rPr>
        <w:t xml:space="preserve"> held six meetings during 2014. It is composed entirely of non-employee, independent Directors, as required by the rules of the NYSE, who are also “non-employee” and “outside” Directors as those terms are defined by Rule 16b-3 promulgated under the Securities and Exchange Act of 1934 and Section 162(m) of the Internal Revenue Code of 1986. The Committee possesses and may exercise the powers of the Board of Directors relating to management development and compensation matters of Martin Marietta,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198" w:lineRule="exact"/>
        <w:rPr>
          <w:sz w:val="20"/>
          <w:szCs w:val="20"/>
          <w:color w:val="auto"/>
        </w:rPr>
      </w:pPr>
    </w:p>
    <w:p>
      <w:pPr>
        <w:ind w:left="900" w:hanging="325"/>
        <w:spacing w:after="0" w:line="23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an overall strategy with respect to compensation for officers and management to enable Martin Marietta to attract and retain qualified employees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 executive succession and management development plans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discharge the Board’s responsibilities relating to compensation of Martin Marietta’s directors and elected officers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administer Martin Marietta’s equity and other compensation plans, as amended from time to time</w:t>
      </w:r>
    </w:p>
    <w:p>
      <w:pPr>
        <w:spacing w:after="0" w:line="76" w:lineRule="exact"/>
        <w:rPr>
          <w:rFonts w:ascii="Arial" w:cs="Arial" w:eastAsia="Arial" w:hAnsi="Arial"/>
          <w:sz w:val="18"/>
          <w:szCs w:val="18"/>
          <w:color w:val="auto"/>
        </w:rPr>
      </w:pPr>
    </w:p>
    <w:p>
      <w:pPr>
        <w:ind w:left="900" w:right="20" w:hanging="325"/>
        <w:spacing w:after="0" w:line="23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and discuss the Compensation Discussion and Analysis and produce a compensation committee report as required by the SEC to be included in this proxy statement</w:t>
      </w:r>
    </w:p>
    <w:p>
      <w:pPr>
        <w:spacing w:after="0" w:line="73" w:lineRule="exact"/>
        <w:rPr>
          <w:rFonts w:ascii="Arial" w:cs="Arial" w:eastAsia="Arial" w:hAnsi="Arial"/>
          <w:sz w:val="18"/>
          <w:szCs w:val="18"/>
          <w:color w:val="auto"/>
        </w:rPr>
      </w:pPr>
    </w:p>
    <w:p>
      <w:pPr>
        <w:ind w:left="900" w:right="20" w:hanging="325"/>
        <w:spacing w:after="0" w:line="23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oversight of Martin Marietta’s Benefit Plan Committee, which administers Martin Marietta’s defined benefit and contribution plans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Committee has the power, in its sole discretion, to determine the compensation and benefits to be paid for all elected officers and employees. The Committee also approves and administers the grants of stock options and any other equity-based awards that may be granted by Martin Marietta.</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Committee reviews and approves Martin Marietta’s goals and objectives for the Chief Executive Officer’s compensation, evaluates the Chief Executive Officer’s performance in light of those goals and objectives, and determines and approves the Chief Executive Officer’s compensation level based on the Committee’s evaluation, which includes executive sessions with the independent directors of the Board of Directors. The Committee also reviews management’s assessment of the performance of other elected officers, and reviews and approves the salary, bonus, and other compensation of such elected officers. The Committee has the authority, in its sole discretion, to retain, pay, and terminate any consulting firm, if any, used to assist in evaluating director, chief executive officer, or senior executive compensation. The Committee has authority to delegate any of its duties under its charter, including to the Chair of the Committee, as it deems appropriate. The Committee also reviews with management at least annually plans for the orderly development and succession of executive management of Martin Marietta. The Committee’s current members are Directors Cole (Chair), McDonald, Menaker and Quillen.</w:t>
      </w:r>
    </w:p>
    <w:p>
      <w:pPr>
        <w:spacing w:after="0" w:line="13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Nominating and Corporate Governance Committee</w:t>
      </w:r>
      <w:r>
        <w:rPr>
          <w:rFonts w:ascii="Arial" w:cs="Arial" w:eastAsia="Arial" w:hAnsi="Arial"/>
          <w:sz w:val="18"/>
          <w:szCs w:val="18"/>
          <w:color w:val="auto"/>
        </w:rPr>
        <w:t xml:space="preserve"> held three meetings in 2014. The Committee is composed entirely of non-employee, independent Directors, as required by the rules of the NYSE. The Committee possesses and may exercise the powers of the Board of Directors relating to the process of governance of Martin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9" w:right="239" w:bottom="1440" w:gutter="0" w:footer="0" w:header="0"/>
        </w:sectPr>
      </w:pPr>
    </w:p>
    <w:bookmarkStart w:id="23" w:name="page24"/>
    <w:bookmarkEnd w:id="23"/>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Marietta,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195"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 the identification and selection of qualified Board and Committee members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 to the Board director nominees for the next annual meeting of shareholders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 the development and implementation of a set of corporate governance principles applicable to Martin Marietta</w:t>
      </w:r>
    </w:p>
    <w:p>
      <w:pPr>
        <w:spacing w:after="0" w:line="15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Committee also oversees the evaluation of the Board and its committees. The Committee has the sole authority to retain, pay, and terminate search firms, if any, used to identify Director candidates. The Committee’s current members are Directors McDonald (Chair), Cole, and Vinroot.</w:t>
      </w:r>
    </w:p>
    <w:p>
      <w:pPr>
        <w:spacing w:after="0" w:line="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Upon the recommendation of this Committee, the Board of Directors has adopted a set of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xml:space="preserve"> for Martin Marietta. The </w:t>
      </w:r>
      <w:r>
        <w:rPr>
          <w:rFonts w:ascii="Arial" w:cs="Arial" w:eastAsia="Arial" w:hAnsi="Arial"/>
          <w:sz w:val="18"/>
          <w:szCs w:val="18"/>
          <w:i w:val="1"/>
          <w:iCs w:val="1"/>
          <w:color w:val="auto"/>
        </w:rPr>
        <w:t>Guidelines</w:t>
      </w:r>
      <w:r>
        <w:rPr>
          <w:rFonts w:ascii="Arial" w:cs="Arial" w:eastAsia="Arial" w:hAnsi="Arial"/>
          <w:sz w:val="18"/>
          <w:szCs w:val="18"/>
          <w:color w:val="auto"/>
        </w:rPr>
        <w:t xml:space="preserve"> are posted and available for public viewing on Martin Marietta’s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 A copy may also be obtained upon request from Martin Marietta’s Corporate Secretary. Additional information concerning the corporate governance process of Martin Marietta is contained in the section entitled “CORPORATE GOVERNANCE MATTERS”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the Nominating and Corporate Governance Committee consider any Director candidates recommended by shareholders?</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Nominating and Corporate Governance Committee will consider nominees recommended by shareholders for election as a Director at an annual meeting of shareholders of Martin Marietta, if the shareholder making such recommendation complies with the advance notice provisions of the Bylaws of Martin Marietta. The Bylaws of Martin Marietta require advance notice for any proposal for the nomination for election as a Director at an annual meeting of shareholders that is not included in Martin Marietta’s notice of meeting or made by or at the direction of the Board of Directors. In general, nominations must be delivered to the Secretary of Martin Marietta at its principal executive offices, 2710 Wycliff Road, Raleigh, North Carolina 27607,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Martin Marietta will be furnished a copy without charge upon written request to the Secretary of Martin Marietta. Since the 2014 annual meeting, Martin Marietta has not made any material changes to the procedures by which shareholders may recommend nominees to Martin Marietta’s Board of Directors. Additional information is contained in the section entitled “SHAREHOLDERS’ PROPOSALS FOR 2015 ANNUAL MEETING”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Board select nominees for the Board?</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Nominating and Corporate Governance Committee will consider candidates for Board membership suggested by its members and other Board members, as well as management and shareholders. The Committee has also retained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Martin Marietta;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13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evaluating any potential candidate, the Nominating and Corporate Governance Committee considers the extent to which the candidate has the personal characteristics and core competencies outlined in the </w:t>
      </w:r>
      <w:r>
        <w:rPr>
          <w:rFonts w:ascii="Arial" w:cs="Arial" w:eastAsia="Arial" w:hAnsi="Arial"/>
          <w:sz w:val="18"/>
          <w:szCs w:val="18"/>
          <w:i w:val="1"/>
          <w:iCs w:val="1"/>
          <w:color w:val="auto"/>
        </w:rPr>
        <w:t>Guidelines for Potential New Board Members</w:t>
      </w:r>
      <w:r>
        <w:rPr>
          <w:rFonts w:ascii="Arial" w:cs="Arial" w:eastAsia="Arial" w:hAnsi="Arial"/>
          <w:sz w:val="18"/>
          <w:szCs w:val="18"/>
          <w:color w:val="auto"/>
        </w:rPr>
        <w:t xml:space="preserve"> adopted by the Committee, and takes into account all other factors it considers appropriate. A copy of these </w:t>
      </w:r>
      <w:r>
        <w:rPr>
          <w:rFonts w:ascii="Arial" w:cs="Arial" w:eastAsia="Arial" w:hAnsi="Arial"/>
          <w:sz w:val="18"/>
          <w:szCs w:val="18"/>
          <w:i w:val="1"/>
          <w:iCs w:val="1"/>
          <w:color w:val="auto"/>
        </w:rPr>
        <w:t>Guidelines</w:t>
      </w:r>
      <w:r>
        <w:rPr>
          <w:rFonts w:ascii="Arial" w:cs="Arial" w:eastAsia="Arial" w:hAnsi="Arial"/>
          <w:sz w:val="18"/>
          <w:szCs w:val="18"/>
          <w:color w:val="auto"/>
        </w:rPr>
        <w:t xml:space="preserve"> is attached to this proxy statement as Appendix 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91" w:right="239" w:bottom="1440" w:gutter="0" w:footer="0" w:header="0"/>
        </w:sectPr>
      </w:pPr>
    </w:p>
    <w:bookmarkStart w:id="24" w:name="page25"/>
    <w:bookmarkEnd w:id="24"/>
    <w:p>
      <w:pPr>
        <w:jc w:val="both"/>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acting through the Committee, is responsible for presenting for shareholder consideration a group of Board candidates that, taken together, have the experience, qualifications, attributes and skills appropriate for functioning effectively as a Board and providing oversight to Martin Marietta. The Committee looks for certain characteristics common to all Board members, including integrity, strong professional reputation, mature business judgment, record of achievement, constructive and collegial personal attributes, and the ability and commitment to devote sufficient time and energy to Board service. In addition, the Committee seeks to include on the Board a complementary mix of individuals with diverse backgrounds and skills reflecting the broad set of challenges that the Board confronts. These individual qualities include matters such as experience in the mining or manufacturing industry, technical experience in financial or accounting matters, experience gained in situations comparable to Martin Marietta’s which has grown through acquisitions, leadership experience, public company Board membership or executive officer experience, and relevant geographical experience.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Although the Committee does not have a formal policy regarding Board diversity, matters of diversity (including diversity in professional experience, geographic background reflecting Martin Marietta’s geographic base, education, ethnic background and gender) are included in the many characteristics considered by the Committee in evaluating nominees for election as directors as reflected in Martin Marietta’s </w:t>
      </w:r>
      <w:r>
        <w:rPr>
          <w:rFonts w:ascii="Arial" w:cs="Arial" w:eastAsia="Arial" w:hAnsi="Arial"/>
          <w:sz w:val="16"/>
          <w:szCs w:val="16"/>
          <w:i w:val="1"/>
          <w:iCs w:val="1"/>
          <w:color w:val="auto"/>
        </w:rPr>
        <w:t>Guidelines for</w:t>
      </w:r>
      <w:r>
        <w:rPr>
          <w:rFonts w:ascii="Arial" w:cs="Arial" w:eastAsia="Arial" w:hAnsi="Arial"/>
          <w:sz w:val="16"/>
          <w:szCs w:val="16"/>
          <w:color w:val="auto"/>
        </w:rPr>
        <w:t xml:space="preserve"> </w:t>
      </w:r>
      <w:r>
        <w:rPr>
          <w:rFonts w:ascii="Arial" w:cs="Arial" w:eastAsia="Arial" w:hAnsi="Arial"/>
          <w:sz w:val="16"/>
          <w:szCs w:val="16"/>
          <w:i w:val="1"/>
          <w:iCs w:val="1"/>
          <w:color w:val="auto"/>
        </w:rPr>
        <w:t>Potential New Board Members</w:t>
      </w:r>
      <w:r>
        <w:rPr>
          <w:rFonts w:ascii="Arial" w:cs="Arial" w:eastAsia="Arial" w:hAnsi="Arial"/>
          <w:sz w:val="16"/>
          <w:szCs w:val="16"/>
          <w:color w:val="auto"/>
        </w:rPr>
        <w:t>. The Committee considers all candidates in the context of the qualifications enumerated above, as well as their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complementary experiences, backgrounds and skills, in an effort to maintain a strong and effective Board of Directors. The Nominating and Corporate Governance Committee also assesses, through discussions at Committee and Board of Directors meetings, the effectiveness of its efforts with respect to diversity and consideration of its </w:t>
      </w:r>
      <w:r>
        <w:rPr>
          <w:rFonts w:ascii="Arial" w:cs="Arial" w:eastAsia="Arial" w:hAnsi="Arial"/>
          <w:sz w:val="16"/>
          <w:szCs w:val="16"/>
          <w:i w:val="1"/>
          <w:iCs w:val="1"/>
          <w:color w:val="auto"/>
        </w:rPr>
        <w:t>Guidelines for Potential New Board Members</w:t>
      </w:r>
      <w:r>
        <w:rPr>
          <w:rFonts w:ascii="Arial" w:cs="Arial" w:eastAsia="Arial" w:hAnsi="Arial"/>
          <w:sz w:val="16"/>
          <w:szCs w:val="16"/>
          <w:color w:val="auto"/>
        </w:rPr>
        <w:t xml:space="preserve"> when it periodically reviews the overall composition of the Board and as part of its self-evaluation process. In addition to these qualities, the Committee has considered the special characteristics outlined in the Directors’ biographies on pages 7 to 11 of this proxy statement, which has led the Committee to conclude that the current Board members, including the nominees for election, have the appropriate characteristics to serve as members of the Board of Directors.</w:t>
      </w:r>
    </w:p>
    <w:p>
      <w:pPr>
        <w:spacing w:after="0" w:line="3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nominee approved by the Nominating and Corporate Governance Committee and recommended for election at the 2015 Annual Meeting is a current Director standing for re-election. The Committee received no additional recommendations for Director nominees for consideration at the annual meeting.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 the Board Committees have charters? How can shareholders obtain them?</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Martin Marietta’s Board of Directors has adopted written charters meeting the requirements of the NYSE for the Audit 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are posted on Martin Marietta’s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 xml:space="preserve">, along with copies of Martin Marietta’s </w:t>
      </w:r>
      <w:r>
        <w:rPr>
          <w:rFonts w:ascii="Arial" w:cs="Arial" w:eastAsia="Arial" w:hAnsi="Arial"/>
          <w:sz w:val="18"/>
          <w:szCs w:val="18"/>
          <w:i w:val="1"/>
          <w:iCs w:val="1"/>
          <w:color w:val="auto"/>
        </w:rPr>
        <w:t>Corporate Governance</w:t>
      </w:r>
      <w:r>
        <w:rPr>
          <w:rFonts w:ascii="Arial" w:cs="Arial" w:eastAsia="Arial" w:hAnsi="Arial"/>
          <w:sz w:val="18"/>
          <w:szCs w:val="18"/>
          <w:color w:val="auto"/>
        </w:rPr>
        <w:t xml:space="preserve"> </w:t>
      </w:r>
      <w:r>
        <w:rPr>
          <w:rFonts w:ascii="Arial" w:cs="Arial" w:eastAsia="Arial" w:hAnsi="Arial"/>
          <w:sz w:val="18"/>
          <w:szCs w:val="18"/>
          <w:i w:val="1"/>
          <w:iCs w:val="1"/>
          <w:color w:val="auto"/>
        </w:rPr>
        <w:t>Guidelines, Code of Ethical Business Conduct</w:t>
      </w:r>
      <w:r>
        <w:rPr>
          <w:rFonts w:ascii="Arial" w:cs="Arial" w:eastAsia="Arial" w:hAnsi="Arial"/>
          <w:sz w:val="18"/>
          <w:szCs w:val="18"/>
          <w:color w:val="auto"/>
        </w:rPr>
        <w:t>, and</w:t>
      </w:r>
      <w:r>
        <w:rPr>
          <w:rFonts w:ascii="Arial" w:cs="Arial" w:eastAsia="Arial" w:hAnsi="Arial"/>
          <w:sz w:val="18"/>
          <w:szCs w:val="18"/>
          <w:i w:val="1"/>
          <w:iCs w:val="1"/>
          <w:color w:val="auto"/>
        </w:rPr>
        <w:t xml:space="preserve"> Guidelines for Director’s Independence</w:t>
      </w:r>
      <w:r>
        <w:rPr>
          <w:rFonts w:ascii="Arial" w:cs="Arial" w:eastAsia="Arial" w:hAnsi="Arial"/>
          <w:sz w:val="18"/>
          <w:szCs w:val="18"/>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transactions with persons related to Martin Marietta reviewed?</w:t>
      </w:r>
    </w:p>
    <w:p>
      <w:pPr>
        <w:spacing w:after="0" w:line="178"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The SEC requires Martin Marietta to disclose in this proxy statement certain transactions in which Martin Marietta participates and in which certain persons considered “related persons” of Martin Marietta have a direct or indirect material interest. These “related persons” would include the Directors and executive officers of Martin Marietta, nominees for Director, certain control persons, and their immediate family members.</w:t>
      </w:r>
    </w:p>
    <w:p>
      <w:pPr>
        <w:spacing w:after="0" w:line="10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Each Director, executive officer, and nominee for Director of Martin Marietta receives and agrees to abide by Martin Marietta’s </w:t>
      </w:r>
      <w:r>
        <w:rPr>
          <w:rFonts w:ascii="Arial" w:cs="Arial" w:eastAsia="Arial" w:hAnsi="Arial"/>
          <w:sz w:val="16"/>
          <w:szCs w:val="16"/>
          <w:i w:val="1"/>
          <w:iCs w:val="1"/>
          <w:color w:val="auto"/>
        </w:rPr>
        <w:t>Code of Ethical</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Conduct</w:t>
      </w:r>
      <w:r>
        <w:rPr>
          <w:rFonts w:ascii="Arial" w:cs="Arial" w:eastAsia="Arial" w:hAnsi="Arial"/>
          <w:sz w:val="16"/>
          <w:szCs w:val="16"/>
          <w:color w:val="auto"/>
        </w:rPr>
        <w:t>. Martin Marietta considers that any transaction in which Martin Marietta participates and in which any related person of Martin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Marietta has a direct or indirect material interest will be subject to Martin Marietta’s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and subject to review, approval or ratification, as appropriate under the circumstances, by Martin Marietta under the standards enumerated in Martin Marietta’s </w:t>
      </w:r>
      <w:r>
        <w:rPr>
          <w:rFonts w:ascii="Arial" w:cs="Arial" w:eastAsia="Arial" w:hAnsi="Arial"/>
          <w:sz w:val="16"/>
          <w:szCs w:val="16"/>
          <w:i w:val="1"/>
          <w:iCs w:val="1"/>
          <w:color w:val="auto"/>
        </w:rPr>
        <w:t>Code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Ethical Business Conduct. </w:t>
      </w:r>
      <w:r>
        <w:rPr>
          <w:rFonts w:ascii="Arial" w:cs="Arial" w:eastAsia="Arial" w:hAnsi="Arial"/>
          <w:sz w:val="16"/>
          <w:szCs w:val="16"/>
          <w:color w:val="auto"/>
        </w:rPr>
        <w:t>If a proposed transaction is one in which a Director of Martin Marietta has an actual or potential conflict of interest, it will</w:t>
      </w:r>
      <w:r>
        <w:rPr>
          <w:rFonts w:ascii="Arial" w:cs="Arial" w:eastAsia="Arial" w:hAnsi="Arial"/>
          <w:sz w:val="16"/>
          <w:szCs w:val="16"/>
          <w:i w:val="1"/>
          <w:iCs w:val="1"/>
          <w:color w:val="auto"/>
        </w:rPr>
        <w:t xml:space="preserve"> </w:t>
      </w:r>
      <w:r>
        <w:rPr>
          <w:rFonts w:ascii="Arial" w:cs="Arial" w:eastAsia="Arial" w:hAnsi="Arial"/>
          <w:sz w:val="16"/>
          <w:szCs w:val="16"/>
          <w:color w:val="auto"/>
        </w:rPr>
        <w:t>be subject to review by the Chairman of the Board of Directors and the Chairman of the Nominating and Corporate Governance Committee.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91" w:right="239" w:bottom="1440" w:gutter="0" w:footer="0" w:header="0"/>
        </w:sectPr>
      </w:pPr>
    </w:p>
    <w:bookmarkStart w:id="25" w:name="page26"/>
    <w:bookmarkEnd w:id="25"/>
    <w:p>
      <w:pPr>
        <w:jc w:val="both"/>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waivers of the </w:t>
      </w:r>
      <w:r>
        <w:rPr>
          <w:rFonts w:ascii="Arial" w:cs="Arial" w:eastAsia="Arial" w:hAnsi="Arial"/>
          <w:sz w:val="18"/>
          <w:szCs w:val="18"/>
          <w:i w:val="1"/>
          <w:iCs w:val="1"/>
          <w:color w:val="auto"/>
        </w:rPr>
        <w:t>Code of Ethical Business Conduct</w:t>
      </w:r>
      <w:r>
        <w:rPr>
          <w:rFonts w:ascii="Arial" w:cs="Arial" w:eastAsia="Arial" w:hAnsi="Arial"/>
          <w:sz w:val="18"/>
          <w:szCs w:val="18"/>
          <w:color w:val="auto"/>
        </w:rPr>
        <w:t xml:space="preserve"> for Directors and executive officers may be made only by Martin Marietta’s Board of Directors or any committee to which it delegates that authority. Any waivers for Directors and executive officers and any amendments to the </w:t>
      </w:r>
      <w:r>
        <w:rPr>
          <w:rFonts w:ascii="Arial" w:cs="Arial" w:eastAsia="Arial" w:hAnsi="Arial"/>
          <w:sz w:val="18"/>
          <w:szCs w:val="18"/>
          <w:i w:val="1"/>
          <w:iCs w:val="1"/>
          <w:color w:val="auto"/>
        </w:rPr>
        <w:t>Code of Ethical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Conduct </w:t>
      </w:r>
      <w:r>
        <w:rPr>
          <w:rFonts w:ascii="Arial" w:cs="Arial" w:eastAsia="Arial" w:hAnsi="Arial"/>
          <w:sz w:val="18"/>
          <w:szCs w:val="18"/>
          <w:color w:val="auto"/>
        </w:rPr>
        <w:t>will be promptly disclosed to Martin Marietta’s shareholders.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assessing the independence of its members, the Board considers any interests a director may have in any transactions in which Martin Marietta participates. The Board also considers other entities with which the Directors are affiliated and any business Martin Marietta has done with such entities.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3"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INDEPENDENT AUDITORS</w:t>
      </w:r>
    </w:p>
    <w:p>
      <w:pPr>
        <w:jc w:val="center"/>
        <w:spacing w:after="0"/>
        <w:rPr>
          <w:sz w:val="20"/>
          <w:szCs w:val="20"/>
          <w:color w:val="auto"/>
        </w:rPr>
      </w:pPr>
      <w:r>
        <w:rPr>
          <w:rFonts w:ascii="Arial" w:cs="Arial" w:eastAsia="Arial" w:hAnsi="Arial"/>
          <w:sz w:val="22"/>
          <w:szCs w:val="22"/>
          <w:i w:val="1"/>
          <w:iCs w:val="1"/>
          <w:color w:val="47829E"/>
        </w:rPr>
        <w:t>(Item 2 on Proxy Card)</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Board of Directors recommends that the shareholders ratify the appointment of Ernst &amp; Young LLP, an independent registered public accounting firm, to audit the consolidated financial statements of Martin Marietta and the effectiveness of Martin Marietta’s internal control over financial reporting for the 2015 fiscal year. The ratification of the appointment of Ernst &amp; Young LLP is being submitted to the shareholders because management believes this to be good corporate practice. Should the shareholders fail to ratify this appointment, the Board of Directors and its Audit Committee will review the matter.</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Ernst &amp; Young LLP served as Martin Marietta’s independent auditors for 2014 and audited the consolidated financial statements of Martin Marietta for the year ended December 31, 2014 and the effectiveness of Martin Marietta’s internal control over financial reporting as of December 31, 2014. In connection with the audit of Martin Marietta’s 2014 consolidated financial statements, Martin Marietta entered into an engagement letter with Ernst &amp; Young LLP that sets forth the terms by which Ernst &amp; Young LLP would perform audit services for Martin Marietta. Ernst &amp; Young LLP required that the audit engagement agreement be subject to alternative dispute resolution procedures.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Audit Committee is solely responsible for retaining or terminating Martin Marietta’s independent auditors in 2015. Representatives of Ernst &amp; Young LLP are expected to attend the annual meeting, will have the opportunity to make a statement if they so desire, and will be available to respond to questions from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4286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UNANIMOUSLY RECOMMENDS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xml:space="preserve"> RATIFCATION OF THE SELECTION</w:t>
      </w:r>
    </w:p>
    <w:p>
      <w:pPr>
        <w:jc w:val="center"/>
        <w:spacing w:after="0"/>
        <w:rPr>
          <w:sz w:val="20"/>
          <w:szCs w:val="20"/>
          <w:color w:val="auto"/>
        </w:rPr>
      </w:pPr>
      <w:r>
        <w:rPr>
          <w:rFonts w:ascii="Arial" w:cs="Arial" w:eastAsia="Arial" w:hAnsi="Arial"/>
          <w:sz w:val="18"/>
          <w:szCs w:val="18"/>
          <w:b w:val="1"/>
          <w:bCs w:val="1"/>
          <w:color w:val="auto"/>
        </w:rPr>
        <w:t>OF ERNST &amp; YOUNG LLP AS INDEPENDENT AUDITORS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Fees</w:t>
      </w:r>
    </w:p>
    <w:p>
      <w:pPr>
        <w:spacing w:after="0" w:line="9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following table summarizes the aggregate fees billed for professional services rendered to Martin Marietta by Ernst &amp; Young LLP in 2014 and 2013. A description of these various fees and services follows the table.</w:t>
      </w:r>
    </w:p>
    <w:p>
      <w:pPr>
        <w:spacing w:after="0" w:line="192" w:lineRule="exact"/>
        <w:rPr>
          <w:sz w:val="20"/>
          <w:szCs w:val="20"/>
          <w:color w:val="auto"/>
        </w:rPr>
      </w:pPr>
    </w:p>
    <w:tbl>
      <w:tblPr>
        <w:tblLayout w:type="fixed"/>
        <w:tblInd w:w="1390" w:type="dxa"/>
        <w:tblCellMar>
          <w:top w:w="0" w:type="dxa"/>
          <w:left w:w="0" w:type="dxa"/>
          <w:bottom w:w="0" w:type="dxa"/>
          <w:right w:w="0" w:type="dxa"/>
        </w:tblCellMar>
      </w:tblPr>
      <w:tr>
        <w:trPr>
          <w:trHeight w:val="257"/>
        </w:trPr>
        <w:tc>
          <w:tcPr>
            <w:tcW w:w="5040" w:type="dxa"/>
            <w:vAlign w:val="bottom"/>
            <w:tcBorders>
              <w:left w:val="single" w:sz="8" w:color="47829E"/>
              <w:right w:val="single" w:sz="8" w:color="47829E"/>
            </w:tcBorders>
            <w:shd w:val="clear" w:color="auto" w:fill="47829E"/>
          </w:tcPr>
          <w:p>
            <w:pPr>
              <w:spacing w:after="0"/>
              <w:rPr>
                <w:sz w:val="22"/>
                <w:szCs w:val="22"/>
                <w:color w:val="auto"/>
              </w:rPr>
            </w:pPr>
          </w:p>
        </w:tc>
        <w:tc>
          <w:tcPr>
            <w:tcW w:w="1380" w:type="dxa"/>
            <w:vAlign w:val="bottom"/>
            <w:gridSpan w:val="2"/>
            <w:shd w:val="clear" w:color="auto" w:fill="47829E"/>
          </w:tcPr>
          <w:p>
            <w:pPr>
              <w:jc w:val="right"/>
              <w:ind w:right="172"/>
              <w:spacing w:after="0"/>
              <w:rPr>
                <w:sz w:val="20"/>
                <w:szCs w:val="20"/>
                <w:color w:val="auto"/>
              </w:rPr>
            </w:pPr>
            <w:r>
              <w:rPr>
                <w:rFonts w:ascii="Arial" w:cs="Arial" w:eastAsia="Arial" w:hAnsi="Arial"/>
                <w:sz w:val="18"/>
                <w:szCs w:val="18"/>
                <w:b w:val="1"/>
                <w:bCs w:val="1"/>
                <w:color w:val="FFFFFF"/>
              </w:rPr>
              <w:t>2014</w:t>
            </w:r>
          </w:p>
        </w:tc>
        <w:tc>
          <w:tcPr>
            <w:tcW w:w="460" w:type="dxa"/>
            <w:vAlign w:val="bottom"/>
            <w:tcBorders>
              <w:right w:val="single" w:sz="8" w:color="47829E"/>
            </w:tcBorders>
            <w:shd w:val="clear" w:color="auto" w:fill="47829E"/>
          </w:tcPr>
          <w:p>
            <w:pPr>
              <w:spacing w:after="0"/>
              <w:rPr>
                <w:sz w:val="22"/>
                <w:szCs w:val="22"/>
                <w:color w:val="auto"/>
              </w:rPr>
            </w:pPr>
          </w:p>
        </w:tc>
        <w:tc>
          <w:tcPr>
            <w:tcW w:w="1360" w:type="dxa"/>
            <w:vAlign w:val="bottom"/>
            <w:gridSpan w:val="2"/>
            <w:shd w:val="clear" w:color="auto" w:fill="47829E"/>
          </w:tcPr>
          <w:p>
            <w:pPr>
              <w:jc w:val="right"/>
              <w:ind w:right="172"/>
              <w:spacing w:after="0"/>
              <w:rPr>
                <w:sz w:val="20"/>
                <w:szCs w:val="20"/>
                <w:color w:val="auto"/>
              </w:rPr>
            </w:pPr>
            <w:r>
              <w:rPr>
                <w:rFonts w:ascii="Arial" w:cs="Arial" w:eastAsia="Arial" w:hAnsi="Arial"/>
                <w:sz w:val="18"/>
                <w:szCs w:val="18"/>
                <w:b w:val="1"/>
                <w:bCs w:val="1"/>
                <w:color w:val="FFFFFF"/>
              </w:rPr>
              <w:t>2013</w:t>
            </w:r>
          </w:p>
        </w:tc>
        <w:tc>
          <w:tcPr>
            <w:tcW w:w="460" w:type="dxa"/>
            <w:vAlign w:val="bottom"/>
            <w:tcBorders>
              <w:right w:val="single" w:sz="8" w:color="47829E"/>
            </w:tcBorders>
            <w:shd w:val="clear" w:color="auto" w:fill="47829E"/>
          </w:tcPr>
          <w:p>
            <w:pPr>
              <w:spacing w:after="0"/>
              <w:rPr>
                <w:sz w:val="22"/>
                <w:szCs w:val="22"/>
                <w:color w:val="auto"/>
              </w:rPr>
            </w:pPr>
          </w:p>
        </w:tc>
      </w:tr>
      <w:tr>
        <w:trPr>
          <w:trHeight w:val="203"/>
        </w:trPr>
        <w:tc>
          <w:tcPr>
            <w:tcW w:w="504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Audit Fees</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$3,103,000</w:t>
            </w:r>
          </w:p>
        </w:tc>
        <w:tc>
          <w:tcPr>
            <w:tcW w:w="460" w:type="dxa"/>
            <w:vAlign w:val="bottom"/>
            <w:tcBorders>
              <w:right w:val="single" w:sz="8" w:color="47829E"/>
            </w:tcBorders>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$1,689,000</w:t>
            </w:r>
          </w:p>
        </w:tc>
        <w:tc>
          <w:tcPr>
            <w:tcW w:w="460" w:type="dxa"/>
            <w:vAlign w:val="bottom"/>
            <w:tcBorders>
              <w:right w:val="single" w:sz="8" w:color="47829E"/>
            </w:tcBorders>
          </w:tcPr>
          <w:p>
            <w:pPr>
              <w:spacing w:after="0"/>
              <w:rPr>
                <w:sz w:val="17"/>
                <w:szCs w:val="17"/>
                <w:color w:val="auto"/>
              </w:rPr>
            </w:pPr>
          </w:p>
        </w:tc>
      </w:tr>
      <w:tr>
        <w:trPr>
          <w:trHeight w:val="203"/>
        </w:trPr>
        <w:tc>
          <w:tcPr>
            <w:tcW w:w="5040" w:type="dxa"/>
            <w:vAlign w:val="bottom"/>
            <w:tcBorders>
              <w:left w:val="single" w:sz="8" w:color="47829E"/>
              <w:righ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Audit-Related Fees</w:t>
            </w:r>
          </w:p>
        </w:tc>
        <w:tc>
          <w:tcPr>
            <w:tcW w:w="1380" w:type="dxa"/>
            <w:vAlign w:val="bottom"/>
            <w:gridSpan w:val="2"/>
            <w:shd w:val="clear" w:color="auto" w:fill="E3ECF0"/>
          </w:tcPr>
          <w:p>
            <w:pPr>
              <w:jc w:val="right"/>
              <w:spacing w:after="0" w:line="202" w:lineRule="exact"/>
              <w:rPr>
                <w:sz w:val="20"/>
                <w:szCs w:val="20"/>
                <w:color w:val="auto"/>
              </w:rPr>
            </w:pPr>
            <w:r>
              <w:rPr>
                <w:rFonts w:ascii="Arial" w:cs="Arial" w:eastAsia="Arial" w:hAnsi="Arial"/>
                <w:sz w:val="18"/>
                <w:szCs w:val="18"/>
                <w:color w:val="auto"/>
              </w:rPr>
              <w:t>100,000</w:t>
            </w:r>
          </w:p>
        </w:tc>
        <w:tc>
          <w:tcPr>
            <w:tcW w:w="460" w:type="dxa"/>
            <w:vAlign w:val="bottom"/>
            <w:tcBorders>
              <w:right w:val="single" w:sz="8" w:color="47829E"/>
            </w:tcBorders>
            <w:shd w:val="clear" w:color="auto" w:fill="E3ECF0"/>
          </w:tcPr>
          <w:p>
            <w:pPr>
              <w:spacing w:after="0"/>
              <w:rPr>
                <w:sz w:val="17"/>
                <w:szCs w:val="17"/>
                <w:color w:val="auto"/>
              </w:rPr>
            </w:pPr>
          </w:p>
        </w:tc>
        <w:tc>
          <w:tcPr>
            <w:tcW w:w="1360" w:type="dxa"/>
            <w:vAlign w:val="bottom"/>
            <w:gridSpan w:val="2"/>
            <w:shd w:val="clear" w:color="auto" w:fill="E3ECF0"/>
          </w:tcPr>
          <w:p>
            <w:pPr>
              <w:jc w:val="right"/>
              <w:spacing w:after="0" w:line="202" w:lineRule="exact"/>
              <w:rPr>
                <w:sz w:val="20"/>
                <w:szCs w:val="20"/>
                <w:color w:val="auto"/>
              </w:rPr>
            </w:pPr>
            <w:r>
              <w:rPr>
                <w:rFonts w:ascii="Arial" w:cs="Arial" w:eastAsia="Arial" w:hAnsi="Arial"/>
                <w:sz w:val="18"/>
                <w:szCs w:val="18"/>
                <w:color w:val="auto"/>
              </w:rPr>
              <w:t>414,000</w:t>
            </w:r>
          </w:p>
        </w:tc>
        <w:tc>
          <w:tcPr>
            <w:tcW w:w="460" w:type="dxa"/>
            <w:vAlign w:val="bottom"/>
            <w:tcBorders>
              <w:right w:val="single" w:sz="8" w:color="47829E"/>
            </w:tcBorders>
            <w:shd w:val="clear" w:color="auto" w:fill="E3ECF0"/>
          </w:tcPr>
          <w:p>
            <w:pPr>
              <w:spacing w:after="0"/>
              <w:rPr>
                <w:sz w:val="17"/>
                <w:szCs w:val="17"/>
                <w:color w:val="auto"/>
              </w:rPr>
            </w:pPr>
          </w:p>
        </w:tc>
      </w:tr>
      <w:tr>
        <w:trPr>
          <w:trHeight w:val="203"/>
        </w:trPr>
        <w:tc>
          <w:tcPr>
            <w:tcW w:w="504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Tax Fees</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653,000</w:t>
            </w:r>
          </w:p>
        </w:tc>
        <w:tc>
          <w:tcPr>
            <w:tcW w:w="460" w:type="dxa"/>
            <w:vAlign w:val="bottom"/>
            <w:tcBorders>
              <w:right w:val="single" w:sz="8" w:color="47829E"/>
            </w:tcBorders>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135,000</w:t>
            </w:r>
          </w:p>
        </w:tc>
        <w:tc>
          <w:tcPr>
            <w:tcW w:w="460" w:type="dxa"/>
            <w:vAlign w:val="bottom"/>
            <w:tcBorders>
              <w:right w:val="single" w:sz="8" w:color="47829E"/>
            </w:tcBorders>
          </w:tcPr>
          <w:p>
            <w:pPr>
              <w:spacing w:after="0"/>
              <w:rPr>
                <w:sz w:val="17"/>
                <w:szCs w:val="17"/>
                <w:color w:val="auto"/>
              </w:rPr>
            </w:pPr>
          </w:p>
        </w:tc>
      </w:tr>
      <w:tr>
        <w:trPr>
          <w:trHeight w:val="203"/>
        </w:trPr>
        <w:tc>
          <w:tcPr>
            <w:tcW w:w="5040" w:type="dxa"/>
            <w:vAlign w:val="bottom"/>
            <w:tcBorders>
              <w:left w:val="single" w:sz="8" w:color="47829E"/>
              <w:righ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All Other Fees</w:t>
            </w:r>
          </w:p>
        </w:tc>
        <w:tc>
          <w:tcPr>
            <w:tcW w:w="480" w:type="dxa"/>
            <w:vAlign w:val="bottom"/>
            <w:shd w:val="clear" w:color="auto" w:fill="E3ECF0"/>
          </w:tcPr>
          <w:p>
            <w:pPr>
              <w:spacing w:after="0"/>
              <w:rPr>
                <w:sz w:val="17"/>
                <w:szCs w:val="17"/>
                <w:color w:val="auto"/>
              </w:rPr>
            </w:pPr>
          </w:p>
        </w:tc>
        <w:tc>
          <w:tcPr>
            <w:tcW w:w="900" w:type="dxa"/>
            <w:vAlign w:val="bottom"/>
            <w:tcBorders>
              <w:bottom w:val="single" w:sz="8" w:color="auto"/>
            </w:tcBorders>
            <w:shd w:val="clear" w:color="auto" w:fill="E3ECF0"/>
          </w:tcPr>
          <w:p>
            <w:pPr>
              <w:jc w:val="right"/>
              <w:spacing w:after="0" w:line="202" w:lineRule="exact"/>
              <w:rPr>
                <w:sz w:val="20"/>
                <w:szCs w:val="20"/>
                <w:color w:val="auto"/>
              </w:rPr>
            </w:pPr>
            <w:r>
              <w:rPr>
                <w:rFonts w:ascii="Arial" w:cs="Arial" w:eastAsia="Arial" w:hAnsi="Arial"/>
                <w:sz w:val="18"/>
                <w:szCs w:val="18"/>
                <w:color w:val="auto"/>
              </w:rPr>
              <w:t>0</w:t>
            </w:r>
          </w:p>
        </w:tc>
        <w:tc>
          <w:tcPr>
            <w:tcW w:w="460" w:type="dxa"/>
            <w:vAlign w:val="bottom"/>
            <w:tcBorders>
              <w:right w:val="single" w:sz="8" w:color="47829E"/>
            </w:tcBorders>
            <w:shd w:val="clear" w:color="auto" w:fill="E3ECF0"/>
          </w:tcPr>
          <w:p>
            <w:pPr>
              <w:spacing w:after="0"/>
              <w:rPr>
                <w:sz w:val="17"/>
                <w:szCs w:val="17"/>
                <w:color w:val="auto"/>
              </w:rPr>
            </w:pPr>
          </w:p>
        </w:tc>
        <w:tc>
          <w:tcPr>
            <w:tcW w:w="480" w:type="dxa"/>
            <w:vAlign w:val="bottom"/>
            <w:shd w:val="clear" w:color="auto" w:fill="E3ECF0"/>
          </w:tcPr>
          <w:p>
            <w:pPr>
              <w:spacing w:after="0"/>
              <w:rPr>
                <w:sz w:val="17"/>
                <w:szCs w:val="17"/>
                <w:color w:val="auto"/>
              </w:rPr>
            </w:pPr>
          </w:p>
        </w:tc>
        <w:tc>
          <w:tcPr>
            <w:tcW w:w="880" w:type="dxa"/>
            <w:vAlign w:val="bottom"/>
            <w:tcBorders>
              <w:bottom w:val="single" w:sz="8" w:color="auto"/>
            </w:tcBorders>
            <w:shd w:val="clear" w:color="auto" w:fill="E3ECF0"/>
          </w:tcPr>
          <w:p>
            <w:pPr>
              <w:jc w:val="right"/>
              <w:spacing w:after="0" w:line="202" w:lineRule="exact"/>
              <w:rPr>
                <w:sz w:val="20"/>
                <w:szCs w:val="20"/>
                <w:color w:val="auto"/>
              </w:rPr>
            </w:pPr>
            <w:r>
              <w:rPr>
                <w:rFonts w:ascii="Arial" w:cs="Arial" w:eastAsia="Arial" w:hAnsi="Arial"/>
                <w:sz w:val="18"/>
                <w:szCs w:val="18"/>
                <w:color w:val="auto"/>
              </w:rPr>
              <w:t>0</w:t>
            </w:r>
          </w:p>
        </w:tc>
        <w:tc>
          <w:tcPr>
            <w:tcW w:w="460" w:type="dxa"/>
            <w:vAlign w:val="bottom"/>
            <w:tcBorders>
              <w:right w:val="single" w:sz="8" w:color="47829E"/>
            </w:tcBorders>
            <w:shd w:val="clear" w:color="auto" w:fill="E3ECF0"/>
          </w:tcPr>
          <w:p>
            <w:pPr>
              <w:spacing w:after="0"/>
              <w:rPr>
                <w:sz w:val="17"/>
                <w:szCs w:val="17"/>
                <w:color w:val="auto"/>
              </w:rPr>
            </w:pPr>
          </w:p>
        </w:tc>
      </w:tr>
      <w:tr>
        <w:trPr>
          <w:trHeight w:val="210"/>
        </w:trPr>
        <w:tc>
          <w:tcPr>
            <w:tcW w:w="5040" w:type="dxa"/>
            <w:vAlign w:val="bottom"/>
            <w:tcBorders>
              <w:left w:val="single" w:sz="8" w:color="47829E"/>
              <w:right w:val="single" w:sz="8" w:color="47829E"/>
            </w:tcBorders>
          </w:tcPr>
          <w:p>
            <w:pPr>
              <w:ind w:left="56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3,856,000</w:t>
            </w:r>
          </w:p>
        </w:tc>
        <w:tc>
          <w:tcPr>
            <w:tcW w:w="460" w:type="dxa"/>
            <w:vAlign w:val="bottom"/>
            <w:tcBorders>
              <w:right w:val="single" w:sz="8" w:color="47829E"/>
            </w:tcBorders>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2,238,000</w:t>
            </w:r>
          </w:p>
        </w:tc>
        <w:tc>
          <w:tcPr>
            <w:tcW w:w="460" w:type="dxa"/>
            <w:vAlign w:val="bottom"/>
            <w:tcBorders>
              <w:right w:val="single" w:sz="8" w:color="47829E"/>
            </w:tcBorders>
          </w:tcPr>
          <w:p>
            <w:pPr>
              <w:spacing w:after="0"/>
              <w:rPr>
                <w:sz w:val="18"/>
                <w:szCs w:val="18"/>
                <w:color w:val="auto"/>
              </w:rPr>
            </w:pPr>
          </w:p>
        </w:tc>
      </w:tr>
      <w:tr>
        <w:trPr>
          <w:trHeight w:val="20"/>
        </w:trPr>
        <w:tc>
          <w:tcPr>
            <w:tcW w:w="5040" w:type="dxa"/>
            <w:vAlign w:val="bottom"/>
            <w:tcBorders>
              <w:left w:val="single" w:sz="8" w:color="47829E"/>
              <w:right w:val="single" w:sz="8" w:color="47829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47829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47829E"/>
            </w:tcBorders>
          </w:tcPr>
          <w:p>
            <w:pPr>
              <w:spacing w:after="0" w:line="20" w:lineRule="exact"/>
              <w:rPr>
                <w:sz w:val="1"/>
                <w:szCs w:val="1"/>
                <w:color w:val="auto"/>
              </w:rPr>
            </w:pPr>
          </w:p>
        </w:tc>
      </w:tr>
      <w:tr>
        <w:trPr>
          <w:trHeight w:val="197"/>
        </w:trPr>
        <w:tc>
          <w:tcPr>
            <w:tcW w:w="5040" w:type="dxa"/>
            <w:vAlign w:val="bottom"/>
            <w:tcBorders>
              <w:left w:val="single" w:sz="8" w:color="47829E"/>
              <w:bottom w:val="single" w:sz="8" w:color="47829E"/>
              <w:right w:val="single" w:sz="8" w:color="47829E"/>
            </w:tcBorders>
            <w:shd w:val="clear" w:color="auto" w:fill="E3ECF0"/>
          </w:tcPr>
          <w:p>
            <w:pPr>
              <w:ind w:left="120"/>
              <w:spacing w:after="0" w:line="196" w:lineRule="exact"/>
              <w:rPr>
                <w:sz w:val="20"/>
                <w:szCs w:val="20"/>
                <w:color w:val="auto"/>
              </w:rPr>
            </w:pPr>
            <w:r>
              <w:rPr>
                <w:rFonts w:ascii="Arial" w:cs="Arial" w:eastAsia="Arial" w:hAnsi="Arial"/>
                <w:sz w:val="18"/>
                <w:szCs w:val="18"/>
                <w:color w:val="auto"/>
              </w:rPr>
              <w:t>Percentage of Audit &amp; Audit-Related Fees to Total Fees</w:t>
            </w:r>
          </w:p>
        </w:tc>
        <w:tc>
          <w:tcPr>
            <w:tcW w:w="1840" w:type="dxa"/>
            <w:vAlign w:val="bottom"/>
            <w:tcBorders>
              <w:bottom w:val="single" w:sz="8" w:color="47829E"/>
              <w:right w:val="single" w:sz="8" w:color="47829E"/>
            </w:tcBorders>
            <w:gridSpan w:val="3"/>
            <w:shd w:val="clear" w:color="auto" w:fill="E3ECF0"/>
          </w:tcPr>
          <w:p>
            <w:pPr>
              <w:jc w:val="right"/>
              <w:ind w:right="320"/>
              <w:spacing w:after="0" w:line="196" w:lineRule="exact"/>
              <w:rPr>
                <w:sz w:val="20"/>
                <w:szCs w:val="20"/>
                <w:color w:val="auto"/>
              </w:rPr>
            </w:pPr>
            <w:r>
              <w:rPr>
                <w:rFonts w:ascii="Arial" w:cs="Arial" w:eastAsia="Arial" w:hAnsi="Arial"/>
                <w:sz w:val="18"/>
                <w:szCs w:val="18"/>
                <w:color w:val="auto"/>
              </w:rPr>
              <w:t>83.1%</w:t>
            </w:r>
          </w:p>
        </w:tc>
        <w:tc>
          <w:tcPr>
            <w:tcW w:w="1820" w:type="dxa"/>
            <w:vAlign w:val="bottom"/>
            <w:tcBorders>
              <w:bottom w:val="single" w:sz="8" w:color="47829E"/>
              <w:right w:val="single" w:sz="8" w:color="47829E"/>
            </w:tcBorders>
            <w:gridSpan w:val="3"/>
            <w:shd w:val="clear" w:color="auto" w:fill="E3ECF0"/>
          </w:tcPr>
          <w:p>
            <w:pPr>
              <w:jc w:val="right"/>
              <w:ind w:right="300"/>
              <w:spacing w:after="0" w:line="196" w:lineRule="exact"/>
              <w:rPr>
                <w:sz w:val="20"/>
                <w:szCs w:val="20"/>
                <w:color w:val="auto"/>
              </w:rPr>
            </w:pPr>
            <w:r>
              <w:rPr>
                <w:rFonts w:ascii="Arial" w:cs="Arial" w:eastAsia="Arial" w:hAnsi="Arial"/>
                <w:sz w:val="18"/>
                <w:szCs w:val="18"/>
                <w:color w:val="auto"/>
              </w:rPr>
              <w:t>94.0%</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aggregate fees billed for professional services rendered by Ernst &amp; Young LLP to Martin Marietta for each of 2014 and 2013 in connection with the annual consolidated financial statement audit, the annual internal controls audit, and reviews of Martin Marietta’s consolidated financial consolidated statements included in the quarterly reports on Form 10-Q were $2,605,000 and $1,689,000, respectively. During 2014, Ernst &amp; Young LLP also billed the Company $498,000 for work relating to registration statements and other SEC filings in connection with the TXI acquisition.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aggregate fees billed for professional services rendered by Ernst &amp; Young LLP to Martin Marietta for each of 2014 and 2013 and in connection with audit-related services, including transaction due diligence, subsidiary audits and continuing education, was $100,000 and $414,000,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5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Fees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aggregate fees billed for professional services rendered by Ernst &amp; Young LLP to Martin Marietta for each of 2014 and 2013 in connection with tax advice, including consultation on transaction issues, transfer pricing issues and pending tangible property regulations, and other tax-related activities and tax compliance were $653,000 and $135,000, respectively. The 2014 fees include $597,000 for services related to TXI, which the Company acquired in July 2014.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There were no other fees billed for other professional services rendered or products provided by Ernst &amp; Young LLP to Martin Marietta for 2014 and 2013.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Audit Committee has adopted a policy that requires advance approval of all audit, audit-related, tax services, and other services performed by Ernst &amp; Young LLP. The policy provides for pre-approval by the Audit Committee of specifically defined audit and non-audit services. Unless the specific service has been previously pre-approved with respect to that year, the Audit Committee must approve the permitted service before Ernst &amp; Young LLP is engaged to perform it. The Audit Committee has delegated to the Chair of the Audit Committee authority to approve permitted services, provided that the Chair reports any decision to the Committee at its next scheduled meeting.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Review</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Audit Committee’s review of services rendered and fees billed by Ernst &amp; Young LLP, the Audit Committee has considered whether the provision of the non-audit related services described above is compatible with maintaining the independent auditors’ independence and has concluded that the provision of these services does not compromise such independence.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AUDIT COMMITTEE REPORT</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The Audit Committee operates under a written charter adopted by the Board of Directors, which is reassessed at least annually for adequacy by the Audit Committee. The Directors who serve on the Audit Committee have no financial or personal ties to Martin Marietta (other than Director compensation and equity ownership as described in this proxy statement) and are all “independent” for purposes of the Securities and Exchange Commission’s regulations, the New York Stock Exchange listing standards, and the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 xml:space="preserve"> adopted by the Board of Directors. The Board of Directors has determined that none of the Audit Committee members has a relationship with Martin Marietta that may interfere with the Director’s independence from Martin Marietta and its management. Copies of the Audit Committee’s charter and Martin Marietta’s </w:t>
      </w:r>
      <w:r>
        <w:rPr>
          <w:rFonts w:ascii="Arial" w:cs="Arial" w:eastAsia="Arial" w:hAnsi="Arial"/>
          <w:sz w:val="18"/>
          <w:szCs w:val="18"/>
          <w:i w:val="1"/>
          <w:iCs w:val="1"/>
          <w:color w:val="auto"/>
        </w:rPr>
        <w:t xml:space="preserve">Guidelines for Director’s Independence </w:t>
      </w:r>
      <w:r>
        <w:rPr>
          <w:rFonts w:ascii="Arial" w:cs="Arial" w:eastAsia="Arial" w:hAnsi="Arial"/>
          <w:sz w:val="18"/>
          <w:szCs w:val="18"/>
          <w:color w:val="auto"/>
        </w:rPr>
        <w:t>can be viewed on Martin Marietta’s website at</w:t>
      </w:r>
      <w:r>
        <w:rPr>
          <w:rFonts w:ascii="Arial" w:cs="Arial" w:eastAsia="Arial" w:hAnsi="Arial"/>
          <w:sz w:val="18"/>
          <w:szCs w:val="18"/>
          <w:i w:val="1"/>
          <w:iCs w:val="1"/>
          <w:color w:val="auto"/>
        </w:rPr>
        <w:t xml:space="preserve"> www.martinmarietta.com.</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has charged the Audit Committee with a number of responsibilities, including review of the adequacy of Martin Marietta’s financial reporting, accounting systems, and internal controls. Martin Marietta’s independent auditors and the vice president of the internal audit function report directly and are ultimately accountable to the Audit Committee.</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discharge of its responsibilities, the Audit Committee has reviewed and discussed with management and the independent auditors Martin Marietta’s audited consolidated financial statements for fiscal year 2014. In addition, the Committee has discussed with the independent auditors matters such as the quality (in addition to acceptability), clarity, consistency, and completeness of Martin Marietta’s financial reporting, as required by Statement on Auditing Standard No. 16, Communication with Audit Committees, as adopted by the Public Company Accounting Oversight Board.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1" w:right="239" w:bottom="1440" w:gutter="0" w:footer="0" w:header="0"/>
        </w:sectPr>
      </w:pPr>
    </w:p>
    <w:bookmarkStart w:id="28" w:name="page29"/>
    <w:bookmarkEnd w:id="28"/>
    <w:p>
      <w:pPr>
        <w:jc w:val="both"/>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Audit Committee has received from the independent auditors written disclosures and a letter concerning the independent auditors’ independence from Martin Marietta, as required by the Public Company Accounting Oversight Board in Rule 3526, </w:t>
      </w:r>
      <w:r>
        <w:rPr>
          <w:rFonts w:ascii="Arial" w:cs="Arial" w:eastAsia="Arial" w:hAnsi="Arial"/>
          <w:sz w:val="18"/>
          <w:szCs w:val="18"/>
          <w:i w:val="1"/>
          <w:iCs w:val="1"/>
          <w:color w:val="auto"/>
        </w:rPr>
        <w:t>Communications with Audit</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Committees Concerning Independence</w:t>
      </w:r>
      <w:r>
        <w:rPr>
          <w:rFonts w:ascii="Arial" w:cs="Arial" w:eastAsia="Arial" w:hAnsi="Arial"/>
          <w:sz w:val="18"/>
          <w:szCs w:val="18"/>
          <w:color w:val="auto"/>
        </w:rPr>
        <w:t>, and has discussed with the independent auditors the independent auditors’ independence.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also received from the independent auditors a letter indicating there were no material issues raised by the independent auditors’ most recent internal quality control review, or by any inquiry or investigation by governmental or professional authorities within the preceding five years. These disclosures have been reviewed by the Committee and discussed with the independent auditors.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Based on these reviews and discussions, the Audit Committee has recommended to the Board that the audited financial statements be included in Martin Marietta’s 2014 Annual Report on Form 10-K for filing with the Securities and Exchange Commission.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2015</w:t>
      </w:r>
    </w:p>
    <w:p>
      <w:pPr>
        <w:spacing w:after="0" w:line="13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David G. Maffucci, </w:t>
      </w:r>
      <w:r>
        <w:rPr>
          <w:rFonts w:ascii="Arial" w:cs="Arial" w:eastAsia="Arial" w:hAnsi="Arial"/>
          <w:sz w:val="18"/>
          <w:szCs w:val="18"/>
          <w:i w:val="1"/>
          <w:iCs w:val="1"/>
          <w:color w:val="auto"/>
        </w:rPr>
        <w:t>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H. Menaker, Jr.</w:t>
      </w:r>
    </w:p>
    <w:p>
      <w:pPr>
        <w:ind w:left="6060"/>
        <w:spacing w:after="0" w:line="234" w:lineRule="auto"/>
        <w:rPr>
          <w:sz w:val="20"/>
          <w:szCs w:val="20"/>
          <w:color w:val="auto"/>
        </w:rPr>
      </w:pPr>
      <w:r>
        <w:rPr>
          <w:rFonts w:ascii="Arial" w:cs="Arial" w:eastAsia="Arial" w:hAnsi="Arial"/>
          <w:sz w:val="18"/>
          <w:szCs w:val="18"/>
          <w:color w:val="auto"/>
        </w:rPr>
        <w:t>Laree E. Perez</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Dennis L. Rediker</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MANAGEMENT DEVELOPMENT AND COMPENSATION COMMITTEE REPORT</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Management Development and Compensation Committee has reviewed and discussed with management the Compensation Discussion and Analysis beginning on page 26 of this proxy statement. Based on this review and discussion, the Management Development and Compensation Committee recommended to the Board of Directors that the Compensation Discussion and Analysis be included in Martin Marietta’s Annual Report on Form 10-K and this Proxy Statement.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2015</w:t>
      </w:r>
    </w:p>
    <w:p>
      <w:pPr>
        <w:spacing w:after="0" w:line="13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MANAGEMENT DEVELOPMENT AND</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COMPENSATION COMMITTEE</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Sue W. Cole, </w:t>
      </w:r>
      <w:r>
        <w:rPr>
          <w:rFonts w:ascii="Arial" w:cs="Arial" w:eastAsia="Arial" w:hAnsi="Arial"/>
          <w:sz w:val="18"/>
          <w:szCs w:val="18"/>
          <w:i w:val="1"/>
          <w:iCs w:val="1"/>
          <w:color w:val="auto"/>
        </w:rPr>
        <w:t>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William E. McDonald</w:t>
      </w:r>
    </w:p>
    <w:p>
      <w:pPr>
        <w:ind w:left="6060"/>
        <w:spacing w:after="0" w:line="234" w:lineRule="auto"/>
        <w:rPr>
          <w:sz w:val="20"/>
          <w:szCs w:val="20"/>
          <w:color w:val="auto"/>
        </w:rPr>
      </w:pPr>
      <w:r>
        <w:rPr>
          <w:rFonts w:ascii="Arial" w:cs="Arial" w:eastAsia="Arial" w:hAnsi="Arial"/>
          <w:sz w:val="18"/>
          <w:szCs w:val="18"/>
          <w:color w:val="auto"/>
        </w:rPr>
        <w:t>Frank H. Menaker, Jr.</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J. Quillen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COMPENSATION COMMITTEE INTERLOCKS AND INSIDER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PARTICIPATION IN COMPENSATION DECISIONS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members of Martin Marietta’s Management Development and Compensation Committee are Directors Cole, McDonald, Menaker and Quillen, none of whom has ever been an officer or employee of Martin Marietta or any of its subsidiaries. There are no executive officer-Director interlocks where an executive of Martin Marietta serves on the compensation committee of another corporation that has an executive officer serving on Martin Marietta’s Board of Directors.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9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Introduction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This Compensation Discussion and Analysis, or CD&amp;A, describes our 2014 executive compensation program and the attendant oversight provided by the Management Development and Compensation Committee of the Board of Directors (the Committee). It also summarizes our executive compensation structure and discusses the compensation earned by Martin Marietta’s named executive officers (the CEO, the CFO, and the three other most highly compensated executive officers in 2014) as presented below in the tables under “Executive Compensation” following this CD&amp;A, which contain detailed compensation information quantifying and further explaining our named executive officers’ (NEO)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2014, our named executive officers were:</w:t>
      </w:r>
    </w:p>
    <w:p>
      <w:pPr>
        <w:spacing w:after="0" w:line="195" w:lineRule="exact"/>
        <w:rPr>
          <w:sz w:val="20"/>
          <w:szCs w:val="20"/>
          <w:color w:val="auto"/>
        </w:rPr>
      </w:pPr>
    </w:p>
    <w:tbl>
      <w:tblPr>
        <w:tblLayout w:type="fixed"/>
        <w:tblInd w:w="1050" w:type="dxa"/>
        <w:tblCellMar>
          <w:top w:w="0" w:type="dxa"/>
          <w:left w:w="0" w:type="dxa"/>
          <w:bottom w:w="0" w:type="dxa"/>
          <w:right w:w="0" w:type="dxa"/>
        </w:tblCellMar>
      </w:tblPr>
      <w:tr>
        <w:trPr>
          <w:trHeight w:val="216"/>
        </w:trPr>
        <w:tc>
          <w:tcPr>
            <w:tcW w:w="2380" w:type="dxa"/>
            <w:vAlign w:val="bottom"/>
            <w:tcBorders>
              <w:left w:val="single" w:sz="8" w:color="47829E"/>
              <w:right w:val="single" w:sz="8" w:color="47829E"/>
            </w:tcBorders>
            <w:shd w:val="clear" w:color="auto" w:fill="47829E"/>
          </w:tcPr>
          <w:p>
            <w:pPr>
              <w:ind w:left="120"/>
              <w:spacing w:after="0"/>
              <w:rPr>
                <w:sz w:val="20"/>
                <w:szCs w:val="20"/>
                <w:color w:val="auto"/>
              </w:rPr>
            </w:pPr>
            <w:r>
              <w:rPr>
                <w:rFonts w:ascii="Arial" w:cs="Arial" w:eastAsia="Arial" w:hAnsi="Arial"/>
                <w:sz w:val="18"/>
                <w:szCs w:val="18"/>
                <w:b w:val="1"/>
                <w:bCs w:val="1"/>
                <w:color w:val="FFFFFF"/>
              </w:rPr>
              <w:t>NEO</w:t>
            </w:r>
          </w:p>
        </w:tc>
        <w:tc>
          <w:tcPr>
            <w:tcW w:w="7000" w:type="dxa"/>
            <w:vAlign w:val="bottom"/>
            <w:tcBorders>
              <w:right w:val="single" w:sz="8" w:color="47829E"/>
            </w:tcBorders>
            <w:shd w:val="clear" w:color="auto" w:fill="47829E"/>
          </w:tcPr>
          <w:p>
            <w:pPr>
              <w:ind w:left="240"/>
              <w:spacing w:after="0"/>
              <w:rPr>
                <w:sz w:val="20"/>
                <w:szCs w:val="20"/>
                <w:color w:val="auto"/>
              </w:rPr>
            </w:pPr>
            <w:r>
              <w:rPr>
                <w:rFonts w:ascii="Arial" w:cs="Arial" w:eastAsia="Arial" w:hAnsi="Arial"/>
                <w:sz w:val="18"/>
                <w:szCs w:val="18"/>
                <w:b w:val="1"/>
                <w:bCs w:val="1"/>
                <w:color w:val="FFFFFF"/>
              </w:rPr>
              <w:t>Title</w:t>
            </w:r>
          </w:p>
        </w:tc>
      </w:tr>
      <w:tr>
        <w:trPr>
          <w:trHeight w:val="203"/>
        </w:trPr>
        <w:tc>
          <w:tcPr>
            <w:tcW w:w="238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C. Howard Nye</w:t>
            </w:r>
          </w:p>
        </w:tc>
        <w:tc>
          <w:tcPr>
            <w:tcW w:w="7000" w:type="dxa"/>
            <w:vAlign w:val="bottom"/>
            <w:tcBorders>
              <w:right w:val="single" w:sz="8" w:color="47829E"/>
            </w:tcBorders>
          </w:tcPr>
          <w:p>
            <w:pPr>
              <w:ind w:left="240"/>
              <w:spacing w:after="0" w:line="202" w:lineRule="exact"/>
              <w:rPr>
                <w:sz w:val="20"/>
                <w:szCs w:val="20"/>
                <w:color w:val="auto"/>
              </w:rPr>
            </w:pPr>
            <w:r>
              <w:rPr>
                <w:rFonts w:ascii="Arial" w:cs="Arial" w:eastAsia="Arial" w:hAnsi="Arial"/>
                <w:sz w:val="18"/>
                <w:szCs w:val="18"/>
                <w:color w:val="auto"/>
              </w:rPr>
              <w:t>Chairman of the Board, President and Chief Executive Officer</w:t>
            </w:r>
          </w:p>
        </w:tc>
      </w:tr>
      <w:tr>
        <w:trPr>
          <w:trHeight w:val="203"/>
        </w:trPr>
        <w:tc>
          <w:tcPr>
            <w:tcW w:w="2380" w:type="dxa"/>
            <w:vAlign w:val="bottom"/>
            <w:tcBorders>
              <w:left w:val="single" w:sz="8" w:color="47829E"/>
              <w:righ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Anne H. Lloyd</w:t>
            </w:r>
          </w:p>
        </w:tc>
        <w:tc>
          <w:tcPr>
            <w:tcW w:w="7000" w:type="dxa"/>
            <w:vAlign w:val="bottom"/>
            <w:tcBorders>
              <w:right w:val="single" w:sz="8" w:color="47829E"/>
            </w:tcBorders>
            <w:shd w:val="clear" w:color="auto" w:fill="E3ECF0"/>
          </w:tcPr>
          <w:p>
            <w:pPr>
              <w:ind w:left="240"/>
              <w:spacing w:after="0" w:line="202" w:lineRule="exact"/>
              <w:rPr>
                <w:sz w:val="20"/>
                <w:szCs w:val="20"/>
                <w:color w:val="auto"/>
              </w:rPr>
            </w:pPr>
            <w:r>
              <w:rPr>
                <w:rFonts w:ascii="Arial" w:cs="Arial" w:eastAsia="Arial" w:hAnsi="Arial"/>
                <w:sz w:val="18"/>
                <w:szCs w:val="18"/>
                <w:color w:val="auto"/>
              </w:rPr>
              <w:t>Executive Vice President and Chief Financial Officer</w:t>
            </w:r>
          </w:p>
        </w:tc>
      </w:tr>
      <w:tr>
        <w:trPr>
          <w:trHeight w:val="203"/>
        </w:trPr>
        <w:tc>
          <w:tcPr>
            <w:tcW w:w="238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Roselyn R. Bar</w:t>
            </w:r>
          </w:p>
        </w:tc>
        <w:tc>
          <w:tcPr>
            <w:tcW w:w="7000" w:type="dxa"/>
            <w:vAlign w:val="bottom"/>
            <w:tcBorders>
              <w:right w:val="single" w:sz="8" w:color="47829E"/>
            </w:tcBorders>
          </w:tcPr>
          <w:p>
            <w:pPr>
              <w:ind w:left="240"/>
              <w:spacing w:after="0" w:line="202" w:lineRule="exact"/>
              <w:rPr>
                <w:sz w:val="20"/>
                <w:szCs w:val="20"/>
                <w:color w:val="auto"/>
              </w:rPr>
            </w:pPr>
            <w:r>
              <w:rPr>
                <w:rFonts w:ascii="Arial" w:cs="Arial" w:eastAsia="Arial" w:hAnsi="Arial"/>
                <w:sz w:val="18"/>
                <w:szCs w:val="18"/>
                <w:color w:val="auto"/>
              </w:rPr>
              <w:t>Senior Vice President, General Counsel and Corporate Secretary</w:t>
            </w:r>
          </w:p>
        </w:tc>
      </w:tr>
      <w:tr>
        <w:trPr>
          <w:trHeight w:val="203"/>
        </w:trPr>
        <w:tc>
          <w:tcPr>
            <w:tcW w:w="2380" w:type="dxa"/>
            <w:vAlign w:val="bottom"/>
            <w:tcBorders>
              <w:left w:val="single" w:sz="8" w:color="47829E"/>
              <w:righ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Donald A. McCunniff</w:t>
            </w:r>
          </w:p>
        </w:tc>
        <w:tc>
          <w:tcPr>
            <w:tcW w:w="7000" w:type="dxa"/>
            <w:vAlign w:val="bottom"/>
            <w:tcBorders>
              <w:right w:val="single" w:sz="8" w:color="47829E"/>
            </w:tcBorders>
            <w:shd w:val="clear" w:color="auto" w:fill="E3ECF0"/>
          </w:tcPr>
          <w:p>
            <w:pPr>
              <w:ind w:left="240"/>
              <w:spacing w:after="0" w:line="202" w:lineRule="exact"/>
              <w:rPr>
                <w:sz w:val="20"/>
                <w:szCs w:val="20"/>
                <w:color w:val="auto"/>
              </w:rPr>
            </w:pPr>
            <w:r>
              <w:rPr>
                <w:rFonts w:ascii="Arial" w:cs="Arial" w:eastAsia="Arial" w:hAnsi="Arial"/>
                <w:sz w:val="18"/>
                <w:szCs w:val="18"/>
                <w:color w:val="auto"/>
              </w:rPr>
              <w:t>Senior Vice President – Human Resources</w:t>
            </w:r>
          </w:p>
        </w:tc>
      </w:tr>
      <w:tr>
        <w:trPr>
          <w:trHeight w:val="203"/>
        </w:trPr>
        <w:tc>
          <w:tcPr>
            <w:tcW w:w="2380" w:type="dxa"/>
            <w:vAlign w:val="bottom"/>
            <w:tcBorders>
              <w:left w:val="single" w:sz="8" w:color="47829E"/>
              <w:bottom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Daniel L. Grant</w:t>
            </w:r>
          </w:p>
        </w:tc>
        <w:tc>
          <w:tcPr>
            <w:tcW w:w="7000" w:type="dxa"/>
            <w:vAlign w:val="bottom"/>
            <w:tcBorders>
              <w:bottom w:val="single" w:sz="8" w:color="47829E"/>
              <w:right w:val="single" w:sz="8" w:color="47829E"/>
            </w:tcBorders>
          </w:tcPr>
          <w:p>
            <w:pPr>
              <w:ind w:left="240"/>
              <w:spacing w:after="0" w:line="202" w:lineRule="exact"/>
              <w:rPr>
                <w:sz w:val="20"/>
                <w:szCs w:val="20"/>
                <w:color w:val="auto"/>
              </w:rPr>
            </w:pPr>
            <w:r>
              <w:rPr>
                <w:rFonts w:ascii="Arial" w:cs="Arial" w:eastAsia="Arial" w:hAnsi="Arial"/>
                <w:sz w:val="18"/>
                <w:szCs w:val="18"/>
                <w:color w:val="auto"/>
              </w:rPr>
              <w:t>Senior Vice President – Strategy &amp; Development</w:t>
            </w:r>
          </w:p>
        </w:tc>
      </w:tr>
    </w:tbl>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executive compensation structure consists of three primary components: base salary, annual incentives, and long-term incentives. Within the long-term incentive component, we utilize a balanced portfolio of stock options, restricted stock units (RSUs), and performance-based share units (PSUs). Martin Marietta has a long-standing commitment to pay for performance. We fulfill that aim by providing a majority of compensation through programs in which the amounts ultimately received vary in order to best reflect our financial, operational and strategic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157480</wp:posOffset>
            </wp:positionV>
            <wp:extent cx="3439160" cy="1672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39160"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Executive Summary</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year 2014 was transformational for Martin Marietta, highlighted by our $2.8 billion acquisition of Texas Industries, Inc. (TXI) in July, which changed our growth trajectory. Our heritage business also generated increased profits versus prior year, and effective management provided us the ability to prudently reinvest in our business, pursue strategic opportunities, and return value to our shareholders. In sum, Martin Marietta continued to execute its strategic plan while delivering strong performance in 2014:</w:t>
      </w:r>
    </w:p>
    <w:p>
      <w:pPr>
        <w:spacing w:after="0" w:line="173" w:lineRule="exact"/>
        <w:rPr>
          <w:sz w:val="20"/>
          <w:szCs w:val="20"/>
          <w:color w:val="auto"/>
        </w:rPr>
      </w:pPr>
    </w:p>
    <w:p>
      <w:pPr>
        <w:ind w:left="90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Record net sales of $2.68 billion </w:t>
      </w:r>
      <w:r>
        <w:rPr>
          <w:rFonts w:ascii="Arial" w:cs="Arial" w:eastAsia="Arial" w:hAnsi="Arial"/>
          <w:sz w:val="18"/>
          <w:szCs w:val="18"/>
          <w:color w:val="auto"/>
        </w:rPr>
        <w:t>(compared with $1.94 billion), an increase of 38%; of this amount, $2.17 billion from heritage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 increase of 12%</w:t>
      </w:r>
    </w:p>
    <w:p>
      <w:pPr>
        <w:spacing w:after="0" w:line="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gross margin expanded by 80 basis points to 19.5%; </w:t>
      </w:r>
      <w:r>
        <w:rPr>
          <w:rFonts w:ascii="Arial" w:cs="Arial" w:eastAsia="Arial" w:hAnsi="Arial"/>
          <w:sz w:val="18"/>
          <w:szCs w:val="18"/>
          <w:color w:val="auto"/>
        </w:rPr>
        <w:t>heritage consolidated gross margin (excluding freight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revenues) of 21.0%, up 230 basis points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56" w:right="239" w:bottom="1440" w:gutter="0" w:footer="0" w:header="0"/>
        </w:sectPr>
      </w:pPr>
    </w:p>
    <w:bookmarkStart w:id="30" w:name="page31"/>
    <w:bookmarkEnd w:id="30"/>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Selling, general &amp; administrative </w:t>
      </w:r>
      <w:r>
        <w:rPr>
          <w:rFonts w:ascii="Arial" w:cs="Arial" w:eastAsia="Arial" w:hAnsi="Arial"/>
          <w:sz w:val="18"/>
          <w:szCs w:val="18"/>
          <w:b w:val="1"/>
          <w:bCs w:val="1"/>
          <w:color w:val="auto"/>
        </w:rPr>
        <w:t>(SG&amp;A) expenses declined to 6.3%</w:t>
      </w:r>
      <w:r>
        <w:rPr>
          <w:rFonts w:ascii="Arial" w:cs="Arial" w:eastAsia="Arial" w:hAnsi="Arial"/>
          <w:sz w:val="18"/>
          <w:szCs w:val="18"/>
          <w:color w:val="auto"/>
        </w:rPr>
        <w:t xml:space="preserve"> of net sales, a reduction of 140 basis points</w:t>
      </w:r>
    </w:p>
    <w:p>
      <w:pPr>
        <w:spacing w:after="0" w:line="7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Earnings Before Interest, Taxes, Depreciation, Depletion &amp; Amortization </w:t>
      </w:r>
      <w:r>
        <w:rPr>
          <w:rFonts w:ascii="Arial" w:cs="Arial" w:eastAsia="Arial" w:hAnsi="Arial"/>
          <w:sz w:val="18"/>
          <w:szCs w:val="18"/>
          <w:b w:val="1"/>
          <w:bCs w:val="1"/>
          <w:color w:val="auto"/>
        </w:rPr>
        <w:t>(EBITDA) of $537 million increased</w:t>
      </w:r>
      <w:r>
        <w:rPr>
          <w:rFonts w:ascii="Arial" w:cs="Arial" w:eastAsia="Arial" w:hAnsi="Arial"/>
          <w:sz w:val="18"/>
          <w:szCs w:val="18"/>
          <w:color w:val="auto"/>
        </w:rPr>
        <w:t xml:space="preserve"> nearly $150 million, or 38%</w:t>
      </w:r>
    </w:p>
    <w:p>
      <w:pPr>
        <w:spacing w:after="0" w:line="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Adjusted earnings per diluted share of $3.74 </w:t>
      </w:r>
      <w:r>
        <w:rPr>
          <w:rFonts w:ascii="Arial" w:cs="Arial" w:eastAsia="Arial" w:hAnsi="Arial"/>
          <w:sz w:val="18"/>
          <w:szCs w:val="18"/>
          <w:color w:val="auto"/>
        </w:rPr>
        <w:t>increased more than 40%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This financial performance allowed us to achieve our additional strategic objectives, including:</w:t>
      </w:r>
    </w:p>
    <w:p>
      <w:pPr>
        <w:spacing w:after="0" w:line="17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Consummating the </w:t>
      </w:r>
      <w:r>
        <w:rPr>
          <w:rFonts w:ascii="Arial" w:cs="Arial" w:eastAsia="Arial" w:hAnsi="Arial"/>
          <w:sz w:val="16"/>
          <w:szCs w:val="16"/>
          <w:b w:val="1"/>
          <w:bCs w:val="1"/>
          <w:color w:val="auto"/>
        </w:rPr>
        <w:t>acquisition of TXI in July 2014</w:t>
      </w:r>
      <w:r>
        <w:rPr>
          <w:rFonts w:ascii="Arial" w:cs="Arial" w:eastAsia="Arial" w:hAnsi="Arial"/>
          <w:sz w:val="16"/>
          <w:szCs w:val="16"/>
          <w:color w:val="auto"/>
        </w:rPr>
        <w:t>, and integrating the operations, sales and administrative functions in the Company.</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Achieving actual synergies in 2014 of $28 million, </w:t>
      </w:r>
      <w:r>
        <w:rPr>
          <w:rFonts w:ascii="Arial" w:cs="Arial" w:eastAsia="Arial" w:hAnsi="Arial"/>
          <w:sz w:val="18"/>
          <w:szCs w:val="18"/>
          <w:b w:val="1"/>
          <w:bCs w:val="1"/>
          <w:color w:val="auto"/>
        </w:rPr>
        <w:t>exceeding the 2014 target</w:t>
      </w:r>
      <w:r>
        <w:rPr>
          <w:rFonts w:ascii="Arial" w:cs="Arial" w:eastAsia="Arial" w:hAnsi="Arial"/>
          <w:sz w:val="18"/>
          <w:szCs w:val="18"/>
          <w:color w:val="auto"/>
        </w:rPr>
        <w:t xml:space="preserve"> of $19 million.</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Gaining a </w:t>
      </w:r>
      <w:r>
        <w:rPr>
          <w:rFonts w:ascii="Arial" w:cs="Arial" w:eastAsia="Arial" w:hAnsi="Arial"/>
          <w:sz w:val="18"/>
          <w:szCs w:val="18"/>
          <w:b w:val="1"/>
          <w:bCs w:val="1"/>
          <w:color w:val="auto"/>
        </w:rPr>
        <w:t>leading market position in 85% of markets</w:t>
      </w:r>
      <w:r>
        <w:rPr>
          <w:rFonts w:ascii="Arial" w:cs="Arial" w:eastAsia="Arial" w:hAnsi="Arial"/>
          <w:sz w:val="18"/>
          <w:szCs w:val="18"/>
          <w:color w:val="auto"/>
        </w:rPr>
        <w:t xml:space="preserve"> (vs. 65% in 2010).</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Establishing a foundation for </w:t>
      </w:r>
      <w:r>
        <w:rPr>
          <w:rFonts w:ascii="Arial" w:cs="Arial" w:eastAsia="Arial" w:hAnsi="Arial"/>
          <w:sz w:val="18"/>
          <w:szCs w:val="18"/>
          <w:b w:val="1"/>
          <w:bCs w:val="1"/>
          <w:color w:val="auto"/>
        </w:rPr>
        <w:t>continued transformational growth</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Entering the S&amp;P 500</w:t>
      </w:r>
      <w:r>
        <w:rPr>
          <w:rFonts w:ascii="Arial" w:cs="Arial" w:eastAsia="Arial" w:hAnsi="Arial"/>
          <w:sz w:val="18"/>
          <w:szCs w:val="18"/>
          <w:color w:val="auto"/>
        </w:rPr>
        <w:t>, replacing U.S. Steel – the world’s first billion dollar corporation.</w:t>
      </w:r>
    </w:p>
    <w:p>
      <w:pPr>
        <w:spacing w:after="0" w:line="76"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Rebranding ourselves with </w:t>
      </w:r>
      <w:r>
        <w:rPr>
          <w:rFonts w:ascii="Arial" w:cs="Arial" w:eastAsia="Arial" w:hAnsi="Arial"/>
          <w:sz w:val="18"/>
          <w:szCs w:val="18"/>
          <w:b w:val="1"/>
          <w:bCs w:val="1"/>
          <w:color w:val="auto"/>
        </w:rPr>
        <w:t>a new streamlined name, logo and website</w:t>
      </w:r>
      <w:r>
        <w:rPr>
          <w:rFonts w:ascii="Arial" w:cs="Arial" w:eastAsia="Arial" w:hAnsi="Arial"/>
          <w:sz w:val="18"/>
          <w:szCs w:val="18"/>
          <w:color w:val="auto"/>
        </w:rPr>
        <w:t>, reflecting our broader geographic footprint and enhanced product line offerings to our customers.</w:t>
      </w:r>
    </w:p>
    <w:p>
      <w:pPr>
        <w:spacing w:after="0" w:line="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Returning value to our shareholders </w:t>
      </w:r>
      <w:r>
        <w:rPr>
          <w:rFonts w:ascii="Arial" w:cs="Arial" w:eastAsia="Arial" w:hAnsi="Arial"/>
          <w:sz w:val="18"/>
          <w:szCs w:val="18"/>
          <w:color w:val="auto"/>
        </w:rPr>
        <w:t>with a dividend of $1.60 per share and announced share repurchase program in early 2015.</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number of key 2014 compensation-related decisions resulted from these significant events and accomplishments, which are discussed more fully below. The Committee believes that our executive compensation program continues to reflect a strong pay-for-performance philosophy and is well-aligned with the interests of shareholders.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2014 Say-On-Pay Vote and Shareholder Outreach</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shareholders expressed their continued support of our executive compensation programs by approving our non-binding advisory vote on executive compensation at our 2014 annual meeting of shareholders. More than 93% of votes cast supported our executive compensation policies and practices. Management and the Committee considered this strong support of the current pay structure by our shareholders and that the Company’s compensation programs do not require material changes, other than those changes warranted by good corporate governance oversight.</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Committee feels strongly that our executive compensation programs should evolve and be adjusted over time to support the achievement of our business goals, to reflect the Company’s challenges, and to promote both the near- and long-term profitable growth of Martin Marietta. During 2014, the Committee reviewed and evaluated market trends and best practices in designing and implementing elements to our compensation program. The Committee continues to believe that our executive compensation programs are designed to incentivize and reward achievement that creates value for our shareholders.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view a continuing, constructive dialogue with our long-term shareholders as critically important to ensuring that we remain aligned with their interests. We regularly talk to long-term shareholders and appreciate the opportunity to gain further insight and understanding into their views. In furtherance of this approach, Martin Marietta held an investor day in February 2015 at which shareholders were invited to meet with the entire leadership team of the Company, including our Lead Independent Director. We speak to almost all of our top 25 shareholders at least annually, which represents approximately 70% of our outstanding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Compensation Strategy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is specifically designed to:</w:t>
      </w:r>
    </w:p>
    <w:p>
      <w:pPr>
        <w:spacing w:after="0" w:line="17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Attract and retain </w:t>
      </w:r>
      <w:r>
        <w:rPr>
          <w:rFonts w:ascii="Arial" w:cs="Arial" w:eastAsia="Arial" w:hAnsi="Arial"/>
          <w:sz w:val="18"/>
          <w:szCs w:val="18"/>
          <w:color w:val="auto"/>
        </w:rPr>
        <w:t>top-caliber, knowledgeable and experienced senior executives.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Motivate </w:t>
      </w:r>
      <w:r>
        <w:rPr>
          <w:rFonts w:ascii="Arial" w:cs="Arial" w:eastAsia="Arial" w:hAnsi="Arial"/>
          <w:sz w:val="18"/>
          <w:szCs w:val="18"/>
          <w:color w:val="auto"/>
        </w:rPr>
        <w:t>our executives to achieve superior results and build long-term value for shareholders.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69" w:right="239" w:bottom="1440" w:gutter="0" w:footer="0" w:header="0"/>
        </w:sectPr>
      </w:pPr>
    </w:p>
    <w:bookmarkStart w:id="31" w:name="page32"/>
    <w:bookmarkEnd w:id="31"/>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Reward </w:t>
      </w:r>
      <w:r>
        <w:rPr>
          <w:rFonts w:ascii="Arial" w:cs="Arial" w:eastAsia="Arial" w:hAnsi="Arial"/>
          <w:sz w:val="18"/>
          <w:szCs w:val="18"/>
          <w:color w:val="auto"/>
        </w:rPr>
        <w:t>performance that meets or exceeds established goals consistent with our strategic aims and upholding integrity.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Align individual objectives </w:t>
      </w:r>
      <w:r>
        <w:rPr>
          <w:rFonts w:ascii="Arial" w:cs="Arial" w:eastAsia="Arial" w:hAnsi="Arial"/>
          <w:sz w:val="18"/>
          <w:szCs w:val="18"/>
          <w:color w:val="auto"/>
        </w:rPr>
        <w:t>with the Company’s objectives without fostering excessive or inappropriate risk-taking.</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Encourage an ownership </w:t>
      </w:r>
      <w:r>
        <w:rPr>
          <w:rFonts w:ascii="Arial" w:cs="Arial" w:eastAsia="Arial" w:hAnsi="Arial"/>
          <w:sz w:val="18"/>
          <w:szCs w:val="18"/>
          <w:color w:val="auto"/>
        </w:rPr>
        <w:t>mentality and align the long-term financial interests of our executives with those of our shareholders.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Be market competitive </w:t>
      </w:r>
      <w:r>
        <w:rPr>
          <w:rFonts w:ascii="Arial" w:cs="Arial" w:eastAsia="Arial" w:hAnsi="Arial"/>
          <w:sz w:val="18"/>
          <w:szCs w:val="18"/>
          <w:color w:val="auto"/>
        </w:rPr>
        <w:t>with our peers.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Provide </w:t>
      </w:r>
      <w:r>
        <w:rPr>
          <w:rFonts w:ascii="Arial" w:cs="Arial" w:eastAsia="Arial" w:hAnsi="Arial"/>
          <w:sz w:val="18"/>
          <w:szCs w:val="18"/>
          <w:b w:val="1"/>
          <w:bCs w:val="1"/>
          <w:color w:val="auto"/>
        </w:rPr>
        <w:t>reward systems that are measurable and easily understood</w:t>
      </w:r>
      <w:r>
        <w:rPr>
          <w:rFonts w:ascii="Arial" w:cs="Arial" w:eastAsia="Arial" w:hAnsi="Arial"/>
          <w:sz w:val="18"/>
          <w:szCs w:val="18"/>
          <w:color w:val="auto"/>
        </w:rPr>
        <w:t xml:space="preserve"> by our managers and shareholders.</w:t>
      </w:r>
    </w:p>
    <w:p>
      <w:pPr>
        <w:spacing w:after="0" w:line="76"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Reinforce the succession planning </w:t>
      </w:r>
      <w:r>
        <w:rPr>
          <w:rFonts w:ascii="Arial" w:cs="Arial" w:eastAsia="Arial" w:hAnsi="Arial"/>
          <w:sz w:val="18"/>
          <w:szCs w:val="18"/>
          <w:color w:val="auto"/>
        </w:rPr>
        <w:t>process undertaken on a company-wide basis by identifying and retaining senior leadership</w:t>
      </w:r>
      <w:r>
        <w:rPr>
          <w:rFonts w:ascii="Arial" w:cs="Arial" w:eastAsia="Arial" w:hAnsi="Arial"/>
          <w:sz w:val="18"/>
          <w:szCs w:val="18"/>
          <w:b w:val="1"/>
          <w:bCs w:val="1"/>
          <w:color w:val="auto"/>
        </w:rPr>
        <w:t xml:space="preserve"> </w:t>
      </w:r>
      <w:r>
        <w:rPr>
          <w:rFonts w:ascii="Arial" w:cs="Arial" w:eastAsia="Arial" w:hAnsi="Arial"/>
          <w:sz w:val="18"/>
          <w:szCs w:val="18"/>
          <w:color w:val="auto"/>
        </w:rPr>
        <w:t>capable of achieving the Company’s growth, profitability and other objectives.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key elements of our 2014 executive compensation program:</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980" w:type="dxa"/>
            <w:vAlign w:val="bottom"/>
            <w:tcBorders>
              <w:left w:val="single" w:sz="8" w:color="47829E"/>
              <w:right w:val="single" w:sz="8" w:color="47829E"/>
            </w:tcBorders>
            <w:shd w:val="clear" w:color="auto" w:fill="47829E"/>
          </w:tcPr>
          <w:p>
            <w:pPr>
              <w:ind w:left="120"/>
              <w:spacing w:after="0"/>
              <w:rPr>
                <w:sz w:val="20"/>
                <w:szCs w:val="20"/>
                <w:color w:val="auto"/>
              </w:rPr>
            </w:pPr>
            <w:r>
              <w:rPr>
                <w:rFonts w:ascii="Arial" w:cs="Arial" w:eastAsia="Arial" w:hAnsi="Arial"/>
                <w:sz w:val="18"/>
                <w:szCs w:val="18"/>
                <w:b w:val="1"/>
                <w:bCs w:val="1"/>
                <w:color w:val="FFFFFF"/>
              </w:rPr>
              <w:t>Element</w:t>
            </w:r>
          </w:p>
        </w:tc>
        <w:tc>
          <w:tcPr>
            <w:tcW w:w="3720" w:type="dxa"/>
            <w:vAlign w:val="bottom"/>
            <w:tcBorders>
              <w:right w:val="single" w:sz="8" w:color="47829E"/>
            </w:tcBorders>
            <w:shd w:val="clear" w:color="auto" w:fill="47829E"/>
          </w:tcPr>
          <w:p>
            <w:pPr>
              <w:ind w:left="100"/>
              <w:spacing w:after="0"/>
              <w:rPr>
                <w:sz w:val="20"/>
                <w:szCs w:val="20"/>
                <w:color w:val="auto"/>
              </w:rPr>
            </w:pPr>
            <w:r>
              <w:rPr>
                <w:rFonts w:ascii="Arial" w:cs="Arial" w:eastAsia="Arial" w:hAnsi="Arial"/>
                <w:sz w:val="18"/>
                <w:szCs w:val="18"/>
                <w:b w:val="1"/>
                <w:bCs w:val="1"/>
                <w:color w:val="FFFFFF"/>
              </w:rPr>
              <w:t>Primary Purpose</w:t>
            </w:r>
          </w:p>
        </w:tc>
        <w:tc>
          <w:tcPr>
            <w:tcW w:w="3740" w:type="dxa"/>
            <w:vAlign w:val="bottom"/>
            <w:tcBorders>
              <w:right w:val="single" w:sz="8" w:color="47829E"/>
            </w:tcBorders>
            <w:shd w:val="clear" w:color="auto" w:fill="47829E"/>
          </w:tcPr>
          <w:p>
            <w:pPr>
              <w:ind w:left="80"/>
              <w:spacing w:after="0"/>
              <w:rPr>
                <w:sz w:val="20"/>
                <w:szCs w:val="20"/>
                <w:color w:val="auto"/>
              </w:rPr>
            </w:pPr>
            <w:r>
              <w:rPr>
                <w:rFonts w:ascii="Arial" w:cs="Arial" w:eastAsia="Arial" w:hAnsi="Arial"/>
                <w:sz w:val="18"/>
                <w:szCs w:val="18"/>
                <w:b w:val="1"/>
                <w:bCs w:val="1"/>
                <w:color w:val="FFFFFF"/>
              </w:rPr>
              <w:t>Key Characteristics</w:t>
            </w:r>
          </w:p>
        </w:tc>
        <w:tc>
          <w:tcPr>
            <w:tcW w:w="0" w:type="dxa"/>
            <w:vAlign w:val="bottom"/>
          </w:tcPr>
          <w:p>
            <w:pPr>
              <w:spacing w:after="0"/>
              <w:rPr>
                <w:sz w:val="1"/>
                <w:szCs w:val="1"/>
                <w:color w:val="auto"/>
              </w:rPr>
            </w:pPr>
          </w:p>
        </w:tc>
      </w:tr>
      <w:tr>
        <w:trPr>
          <w:trHeight w:val="206"/>
        </w:trPr>
        <w:tc>
          <w:tcPr>
            <w:tcW w:w="3980" w:type="dxa"/>
            <w:vAlign w:val="bottom"/>
            <w:tcBorders>
              <w:left w:val="single" w:sz="8" w:color="47829E"/>
              <w:right w:val="single" w:sz="8" w:color="47829E"/>
            </w:tcBorders>
          </w:tcPr>
          <w:p>
            <w:pPr>
              <w:ind w:left="120"/>
              <w:spacing w:after="0" w:line="206" w:lineRule="exact"/>
              <w:rPr>
                <w:sz w:val="20"/>
                <w:szCs w:val="20"/>
                <w:color w:val="auto"/>
              </w:rPr>
            </w:pPr>
            <w:r>
              <w:rPr>
                <w:rFonts w:ascii="Arial" w:cs="Arial" w:eastAsia="Arial" w:hAnsi="Arial"/>
                <w:sz w:val="18"/>
                <w:szCs w:val="18"/>
                <w:b w:val="1"/>
                <w:bCs w:val="1"/>
                <w:color w:val="auto"/>
              </w:rPr>
              <w:t>Base Salary</w:t>
            </w:r>
          </w:p>
        </w:tc>
        <w:tc>
          <w:tcPr>
            <w:tcW w:w="3720" w:type="dxa"/>
            <w:vAlign w:val="bottom"/>
            <w:tcBorders>
              <w:right w:val="single" w:sz="8" w:color="47829E"/>
            </w:tcBorders>
          </w:tcPr>
          <w:p>
            <w:pPr>
              <w:ind w:left="100"/>
              <w:spacing w:after="0" w:line="206" w:lineRule="exact"/>
              <w:rPr>
                <w:sz w:val="20"/>
                <w:szCs w:val="20"/>
                <w:color w:val="auto"/>
              </w:rPr>
            </w:pPr>
            <w:r>
              <w:rPr>
                <w:rFonts w:ascii="Arial" w:cs="Arial" w:eastAsia="Arial" w:hAnsi="Arial"/>
                <w:sz w:val="18"/>
                <w:szCs w:val="18"/>
                <w:color w:val="auto"/>
              </w:rPr>
              <w:t>To compensate the executive fairly and</w:t>
            </w:r>
          </w:p>
        </w:tc>
        <w:tc>
          <w:tcPr>
            <w:tcW w:w="3740" w:type="dxa"/>
            <w:vAlign w:val="bottom"/>
            <w:tcBorders>
              <w:right w:val="single" w:sz="8" w:color="47829E"/>
            </w:tcBorders>
          </w:tcPr>
          <w:p>
            <w:pPr>
              <w:ind w:left="80"/>
              <w:spacing w:after="0" w:line="206" w:lineRule="exact"/>
              <w:rPr>
                <w:sz w:val="20"/>
                <w:szCs w:val="20"/>
                <w:color w:val="auto"/>
              </w:rPr>
            </w:pPr>
            <w:r>
              <w:rPr>
                <w:rFonts w:ascii="Arial" w:cs="Arial" w:eastAsia="Arial" w:hAnsi="Arial"/>
                <w:sz w:val="18"/>
                <w:szCs w:val="18"/>
                <w:color w:val="auto"/>
              </w:rPr>
              <w:t>Fixed compensation to pay the executive</w:t>
            </w: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w w:val="99"/>
              </w:rPr>
              <w:t>competitively for the responsibility level of the</w:t>
            </w:r>
          </w:p>
        </w:tc>
        <w:tc>
          <w:tcPr>
            <w:tcW w:w="3740" w:type="dxa"/>
            <w:vAlign w:val="bottom"/>
            <w:tcBorders>
              <w:right w:val="single" w:sz="8" w:color="47829E"/>
            </w:tcBorders>
          </w:tcPr>
          <w:p>
            <w:pPr>
              <w:ind w:left="80"/>
              <w:spacing w:after="0" w:line="202" w:lineRule="exact"/>
              <w:rPr>
                <w:sz w:val="20"/>
                <w:szCs w:val="20"/>
                <w:color w:val="auto"/>
              </w:rPr>
            </w:pPr>
            <w:r>
              <w:rPr>
                <w:rFonts w:ascii="Arial" w:cs="Arial" w:eastAsia="Arial" w:hAnsi="Arial"/>
                <w:sz w:val="18"/>
                <w:szCs w:val="18"/>
                <w:color w:val="auto"/>
              </w:rPr>
              <w:t>fairly for the responsibility level of the</w:t>
            </w:r>
          </w:p>
        </w:tc>
        <w:tc>
          <w:tcPr>
            <w:tcW w:w="0" w:type="dxa"/>
            <w:vAlign w:val="bottom"/>
          </w:tcPr>
          <w:p>
            <w:pPr>
              <w:spacing w:after="0"/>
              <w:rPr>
                <w:sz w:val="1"/>
                <w:szCs w:val="1"/>
                <w:color w:val="auto"/>
              </w:rPr>
            </w:pPr>
          </w:p>
        </w:tc>
      </w:tr>
      <w:tr>
        <w:trPr>
          <w:trHeight w:val="199"/>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0" w:lineRule="exact"/>
              <w:rPr>
                <w:sz w:val="20"/>
                <w:szCs w:val="20"/>
                <w:color w:val="auto"/>
              </w:rPr>
            </w:pPr>
            <w:r>
              <w:rPr>
                <w:rFonts w:ascii="Arial" w:cs="Arial" w:eastAsia="Arial" w:hAnsi="Arial"/>
                <w:sz w:val="18"/>
                <w:szCs w:val="18"/>
                <w:color w:val="auto"/>
              </w:rPr>
              <w:t>position.</w:t>
            </w:r>
          </w:p>
        </w:tc>
        <w:tc>
          <w:tcPr>
            <w:tcW w:w="3740" w:type="dxa"/>
            <w:vAlign w:val="bottom"/>
            <w:tcBorders>
              <w:right w:val="single" w:sz="8" w:color="47829E"/>
            </w:tcBorders>
          </w:tcPr>
          <w:p>
            <w:pPr>
              <w:ind w:left="80"/>
              <w:spacing w:after="0" w:line="200" w:lineRule="exact"/>
              <w:rPr>
                <w:sz w:val="20"/>
                <w:szCs w:val="20"/>
                <w:color w:val="auto"/>
              </w:rPr>
            </w:pPr>
            <w:r>
              <w:rPr>
                <w:rFonts w:ascii="Arial" w:cs="Arial" w:eastAsia="Arial" w:hAnsi="Arial"/>
                <w:sz w:val="18"/>
                <w:szCs w:val="18"/>
                <w:color w:val="auto"/>
              </w:rPr>
              <w:t>position. Reviewed annually.</w:t>
            </w:r>
          </w:p>
        </w:tc>
        <w:tc>
          <w:tcPr>
            <w:tcW w:w="0" w:type="dxa"/>
            <w:vAlign w:val="bottom"/>
          </w:tcPr>
          <w:p>
            <w:pPr>
              <w:spacing w:after="0"/>
              <w:rPr>
                <w:sz w:val="1"/>
                <w:szCs w:val="1"/>
                <w:color w:val="auto"/>
              </w:rPr>
            </w:pPr>
          </w:p>
        </w:tc>
      </w:tr>
      <w:tr>
        <w:trPr>
          <w:trHeight w:val="184"/>
        </w:trPr>
        <w:tc>
          <w:tcPr>
            <w:tcW w:w="3980" w:type="dxa"/>
            <w:vAlign w:val="bottom"/>
            <w:tcBorders>
              <w:left w:val="single" w:sz="8" w:color="47829E"/>
              <w:right w:val="single" w:sz="8" w:color="47829E"/>
            </w:tcBorders>
            <w:shd w:val="clear" w:color="auto" w:fill="E3ECF0"/>
          </w:tcPr>
          <w:p>
            <w:pPr>
              <w:ind w:left="120"/>
              <w:spacing w:after="0" w:line="184" w:lineRule="exact"/>
              <w:rPr>
                <w:sz w:val="20"/>
                <w:szCs w:val="20"/>
                <w:color w:val="auto"/>
              </w:rPr>
            </w:pPr>
            <w:r>
              <w:rPr>
                <w:rFonts w:ascii="Arial" w:cs="Arial" w:eastAsia="Arial" w:hAnsi="Arial"/>
                <w:sz w:val="18"/>
                <w:szCs w:val="18"/>
                <w:b w:val="1"/>
                <w:bCs w:val="1"/>
                <w:color w:val="auto"/>
              </w:rPr>
              <w:t>Annual Performance-</w:t>
            </w:r>
          </w:p>
        </w:tc>
        <w:tc>
          <w:tcPr>
            <w:tcW w:w="3720" w:type="dxa"/>
            <w:vAlign w:val="bottom"/>
            <w:tcBorders>
              <w:right w:val="single" w:sz="8" w:color="47829E"/>
            </w:tcBorders>
            <w:shd w:val="clear" w:color="auto" w:fill="E3ECF0"/>
          </w:tcPr>
          <w:p>
            <w:pPr>
              <w:ind w:left="100"/>
              <w:spacing w:after="0" w:line="184" w:lineRule="exact"/>
              <w:rPr>
                <w:sz w:val="20"/>
                <w:szCs w:val="20"/>
                <w:color w:val="auto"/>
              </w:rPr>
            </w:pPr>
            <w:r>
              <w:rPr>
                <w:rFonts w:ascii="Arial" w:cs="Arial" w:eastAsia="Arial" w:hAnsi="Arial"/>
                <w:sz w:val="18"/>
                <w:szCs w:val="18"/>
                <w:color w:val="auto"/>
              </w:rPr>
              <w:t>To motivate and reward organizational and</w:t>
            </w:r>
          </w:p>
        </w:tc>
        <w:tc>
          <w:tcPr>
            <w:tcW w:w="3740" w:type="dxa"/>
            <w:vAlign w:val="bottom"/>
            <w:tcBorders>
              <w:right w:val="single" w:sz="8" w:color="47829E"/>
            </w:tcBorders>
            <w:shd w:val="clear" w:color="auto" w:fill="E3ECF0"/>
          </w:tcPr>
          <w:p>
            <w:pPr>
              <w:ind w:left="80"/>
              <w:spacing w:after="0" w:line="184" w:lineRule="exact"/>
              <w:rPr>
                <w:sz w:val="20"/>
                <w:szCs w:val="20"/>
                <w:color w:val="auto"/>
              </w:rPr>
            </w:pPr>
            <w:r>
              <w:rPr>
                <w:rFonts w:ascii="Arial" w:cs="Arial" w:eastAsia="Arial" w:hAnsi="Arial"/>
                <w:sz w:val="18"/>
                <w:szCs w:val="18"/>
                <w:color w:val="auto"/>
              </w:rPr>
              <w:t>Variable compensation component; based on</w:t>
            </w:r>
          </w:p>
        </w:tc>
        <w:tc>
          <w:tcPr>
            <w:tcW w:w="0" w:type="dxa"/>
            <w:vAlign w:val="bottom"/>
          </w:tcPr>
          <w:p>
            <w:pPr>
              <w:spacing w:after="0"/>
              <w:rPr>
                <w:sz w:val="1"/>
                <w:szCs w:val="1"/>
                <w:color w:val="auto"/>
              </w:rPr>
            </w:pPr>
          </w:p>
        </w:tc>
      </w:tr>
      <w:tr>
        <w:trPr>
          <w:trHeight w:val="225"/>
        </w:trPr>
        <w:tc>
          <w:tcPr>
            <w:tcW w:w="3980" w:type="dxa"/>
            <w:vAlign w:val="bottom"/>
            <w:tcBorders>
              <w:left w:val="single" w:sz="8" w:color="47829E"/>
              <w:right w:val="single" w:sz="8" w:color="47829E"/>
            </w:tcBorders>
            <w:shd w:val="clear" w:color="auto" w:fill="E3ECF0"/>
          </w:tcPr>
          <w:p>
            <w:pPr>
              <w:ind w:left="120"/>
              <w:spacing w:after="0"/>
              <w:rPr>
                <w:sz w:val="20"/>
                <w:szCs w:val="20"/>
                <w:color w:val="auto"/>
              </w:rPr>
            </w:pPr>
            <w:r>
              <w:rPr>
                <w:rFonts w:ascii="Arial" w:cs="Arial" w:eastAsia="Arial" w:hAnsi="Arial"/>
                <w:sz w:val="18"/>
                <w:szCs w:val="18"/>
                <w:b w:val="1"/>
                <w:bCs w:val="1"/>
                <w:color w:val="auto"/>
              </w:rPr>
              <w:t>Based Incentive Awards</w:t>
            </w:r>
          </w:p>
        </w:tc>
        <w:tc>
          <w:tcPr>
            <w:tcW w:w="3720" w:type="dxa"/>
            <w:vAlign w:val="bottom"/>
            <w:tcBorders>
              <w:right w:val="single" w:sz="8" w:color="47829E"/>
            </w:tcBorders>
            <w:shd w:val="clear" w:color="auto" w:fill="E3ECF0"/>
          </w:tcPr>
          <w:p>
            <w:pPr>
              <w:ind w:left="100"/>
              <w:spacing w:after="0"/>
              <w:rPr>
                <w:sz w:val="20"/>
                <w:szCs w:val="20"/>
                <w:color w:val="auto"/>
              </w:rPr>
            </w:pPr>
            <w:r>
              <w:rPr>
                <w:rFonts w:ascii="Arial" w:cs="Arial" w:eastAsia="Arial" w:hAnsi="Arial"/>
                <w:sz w:val="18"/>
                <w:szCs w:val="18"/>
                <w:color w:val="auto"/>
              </w:rPr>
              <w:t>individual achievement of annual strategic,</w:t>
            </w:r>
          </w:p>
        </w:tc>
        <w:tc>
          <w:tcPr>
            <w:tcW w:w="3740" w:type="dxa"/>
            <w:vAlign w:val="bottom"/>
            <w:tcBorders>
              <w:right w:val="single" w:sz="8" w:color="47829E"/>
            </w:tcBorders>
            <w:shd w:val="clear" w:color="auto" w:fill="E3ECF0"/>
          </w:tcPr>
          <w:p>
            <w:pPr>
              <w:ind w:left="80"/>
              <w:spacing w:after="0"/>
              <w:rPr>
                <w:sz w:val="20"/>
                <w:szCs w:val="20"/>
                <w:color w:val="auto"/>
              </w:rPr>
            </w:pPr>
            <w:r>
              <w:rPr>
                <w:rFonts w:ascii="Arial" w:cs="Arial" w:eastAsia="Arial" w:hAnsi="Arial"/>
                <w:sz w:val="18"/>
                <w:szCs w:val="18"/>
                <w:color w:val="auto"/>
              </w:rPr>
              <w:t>pre-established Company and individual</w:t>
            </w:r>
          </w:p>
        </w:tc>
        <w:tc>
          <w:tcPr>
            <w:tcW w:w="0" w:type="dxa"/>
            <w:vAlign w:val="bottom"/>
          </w:tcPr>
          <w:p>
            <w:pPr>
              <w:spacing w:after="0"/>
              <w:rPr>
                <w:sz w:val="1"/>
                <w:szCs w:val="1"/>
                <w:color w:val="auto"/>
              </w:rPr>
            </w:pPr>
          </w:p>
        </w:tc>
      </w:tr>
      <w:tr>
        <w:trPr>
          <w:trHeight w:val="199"/>
        </w:trPr>
        <w:tc>
          <w:tcPr>
            <w:tcW w:w="3980" w:type="dxa"/>
            <w:vAlign w:val="bottom"/>
            <w:tcBorders>
              <w:left w:val="single" w:sz="8" w:color="47829E"/>
              <w:right w:val="single" w:sz="8" w:color="47829E"/>
            </w:tcBorders>
            <w:vMerge w:val="restart"/>
            <w:shd w:val="clear" w:color="auto" w:fill="E3ECF0"/>
          </w:tcPr>
          <w:p>
            <w:pPr>
              <w:ind w:left="560"/>
              <w:spacing w:after="0"/>
              <w:rPr>
                <w:sz w:val="20"/>
                <w:szCs w:val="20"/>
                <w:color w:val="auto"/>
              </w:rPr>
            </w:pPr>
            <w:r>
              <w:rPr>
                <w:rFonts w:ascii="Arial" w:cs="Arial" w:eastAsia="Arial" w:hAnsi="Arial"/>
                <w:sz w:val="18"/>
                <w:szCs w:val="18"/>
                <w:i w:val="1"/>
                <w:iCs w:val="1"/>
                <w:color w:val="auto"/>
              </w:rPr>
              <w:t>Incentive Stock Plan</w:t>
            </w:r>
          </w:p>
        </w:tc>
        <w:tc>
          <w:tcPr>
            <w:tcW w:w="3720" w:type="dxa"/>
            <w:vAlign w:val="bottom"/>
            <w:tcBorders>
              <w:right w:val="single" w:sz="8" w:color="47829E"/>
            </w:tcBorders>
            <w:shd w:val="clear" w:color="auto" w:fill="E3ECF0"/>
          </w:tcPr>
          <w:p>
            <w:pPr>
              <w:ind w:left="100"/>
              <w:spacing w:after="0" w:line="200" w:lineRule="exact"/>
              <w:rPr>
                <w:sz w:val="20"/>
                <w:szCs w:val="20"/>
                <w:color w:val="auto"/>
              </w:rPr>
            </w:pPr>
            <w:r>
              <w:rPr>
                <w:rFonts w:ascii="Arial" w:cs="Arial" w:eastAsia="Arial" w:hAnsi="Arial"/>
                <w:sz w:val="18"/>
                <w:szCs w:val="18"/>
                <w:color w:val="auto"/>
              </w:rPr>
              <w:t>financial and individual objectives.</w:t>
            </w:r>
          </w:p>
        </w:tc>
        <w:tc>
          <w:tcPr>
            <w:tcW w:w="3740" w:type="dxa"/>
            <w:vAlign w:val="bottom"/>
            <w:tcBorders>
              <w:right w:val="single" w:sz="8" w:color="47829E"/>
            </w:tcBorders>
            <w:shd w:val="clear" w:color="auto" w:fill="E3ECF0"/>
          </w:tcPr>
          <w:p>
            <w:pPr>
              <w:ind w:left="80"/>
              <w:spacing w:after="0" w:line="200" w:lineRule="exact"/>
              <w:rPr>
                <w:sz w:val="20"/>
                <w:szCs w:val="20"/>
                <w:color w:val="auto"/>
              </w:rPr>
            </w:pPr>
            <w:r>
              <w:rPr>
                <w:rFonts w:ascii="Arial" w:cs="Arial" w:eastAsia="Arial" w:hAnsi="Arial"/>
                <w:sz w:val="18"/>
                <w:szCs w:val="18"/>
                <w:color w:val="auto"/>
              </w:rPr>
              <w:t>performance goals.</w:t>
            </w:r>
          </w:p>
        </w:tc>
        <w:tc>
          <w:tcPr>
            <w:tcW w:w="0" w:type="dxa"/>
            <w:vAlign w:val="bottom"/>
          </w:tcPr>
          <w:p>
            <w:pPr>
              <w:spacing w:after="0"/>
              <w:rPr>
                <w:sz w:val="1"/>
                <w:szCs w:val="1"/>
                <w:color w:val="auto"/>
              </w:rPr>
            </w:pPr>
          </w:p>
        </w:tc>
      </w:tr>
      <w:tr>
        <w:trPr>
          <w:trHeight w:val="206"/>
        </w:trPr>
        <w:tc>
          <w:tcPr>
            <w:tcW w:w="3980" w:type="dxa"/>
            <w:vAlign w:val="bottom"/>
            <w:tcBorders>
              <w:left w:val="single" w:sz="8" w:color="47829E"/>
              <w:right w:val="single" w:sz="8" w:color="47829E"/>
            </w:tcBorders>
            <w:vMerge w:val="continue"/>
            <w:shd w:val="clear" w:color="auto" w:fill="E3ECF0"/>
          </w:tcPr>
          <w:p>
            <w:pPr>
              <w:spacing w:after="0"/>
              <w:rPr>
                <w:sz w:val="17"/>
                <w:szCs w:val="17"/>
                <w:color w:val="auto"/>
              </w:rPr>
            </w:pPr>
          </w:p>
        </w:tc>
        <w:tc>
          <w:tcPr>
            <w:tcW w:w="3720" w:type="dxa"/>
            <w:vAlign w:val="bottom"/>
            <w:tcBorders>
              <w:right w:val="single" w:sz="8" w:color="47829E"/>
            </w:tcBorders>
            <w:shd w:val="clear" w:color="auto" w:fill="E3ECF0"/>
          </w:tcPr>
          <w:p>
            <w:pPr>
              <w:ind w:left="100"/>
              <w:spacing w:after="0" w:line="206" w:lineRule="exact"/>
              <w:rPr>
                <w:sz w:val="20"/>
                <w:szCs w:val="20"/>
                <w:color w:val="auto"/>
              </w:rPr>
            </w:pPr>
            <w:r>
              <w:rPr>
                <w:rFonts w:ascii="Arial" w:cs="Arial" w:eastAsia="Arial" w:hAnsi="Arial"/>
                <w:sz w:val="18"/>
                <w:szCs w:val="18"/>
                <w:color w:val="auto"/>
              </w:rPr>
              <w:t>To assure executives invest certain levels of</w:t>
            </w:r>
          </w:p>
        </w:tc>
        <w:tc>
          <w:tcPr>
            <w:tcW w:w="3740" w:type="dxa"/>
            <w:vAlign w:val="bottom"/>
            <w:tcBorders>
              <w:right w:val="single" w:sz="8" w:color="47829E"/>
            </w:tcBorders>
            <w:shd w:val="clear" w:color="auto" w:fill="E3ECF0"/>
          </w:tcPr>
          <w:p>
            <w:pPr>
              <w:ind w:left="80"/>
              <w:spacing w:after="0" w:line="206" w:lineRule="exact"/>
              <w:rPr>
                <w:sz w:val="20"/>
                <w:szCs w:val="20"/>
                <w:color w:val="auto"/>
              </w:rPr>
            </w:pPr>
            <w:r>
              <w:rPr>
                <w:rFonts w:ascii="Arial" w:cs="Arial" w:eastAsia="Arial" w:hAnsi="Arial"/>
                <w:sz w:val="18"/>
                <w:szCs w:val="18"/>
                <w:color w:val="auto"/>
              </w:rPr>
              <w:t>Executives may invest up to 50% of their</w:t>
            </w: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shd w:val="clear" w:color="auto" w:fill="E3ECF0"/>
          </w:tcPr>
          <w:p>
            <w:pPr>
              <w:spacing w:after="0"/>
              <w:rPr>
                <w:sz w:val="17"/>
                <w:szCs w:val="17"/>
                <w:color w:val="auto"/>
              </w:rPr>
            </w:pPr>
          </w:p>
        </w:tc>
        <w:tc>
          <w:tcPr>
            <w:tcW w:w="3720" w:type="dxa"/>
            <w:vAlign w:val="bottom"/>
            <w:tcBorders>
              <w:right w:val="single" w:sz="8" w:color="47829E"/>
            </w:tcBorders>
            <w:shd w:val="clear" w:color="auto" w:fill="E3ECF0"/>
          </w:tcPr>
          <w:p>
            <w:pPr>
              <w:ind w:left="100"/>
              <w:spacing w:after="0" w:line="202" w:lineRule="exact"/>
              <w:rPr>
                <w:sz w:val="20"/>
                <w:szCs w:val="20"/>
                <w:color w:val="auto"/>
              </w:rPr>
            </w:pPr>
            <w:r>
              <w:rPr>
                <w:rFonts w:ascii="Arial" w:cs="Arial" w:eastAsia="Arial" w:hAnsi="Arial"/>
                <w:sz w:val="18"/>
                <w:szCs w:val="18"/>
                <w:color w:val="auto"/>
              </w:rPr>
              <w:t>their annual bonus into Martin Marietta stock</w:t>
            </w:r>
          </w:p>
        </w:tc>
        <w:tc>
          <w:tcPr>
            <w:tcW w:w="3740" w:type="dxa"/>
            <w:vAlign w:val="bottom"/>
            <w:tcBorders>
              <w:right w:val="single" w:sz="8" w:color="47829E"/>
            </w:tcBorders>
            <w:shd w:val="clear" w:color="auto" w:fill="E3ECF0"/>
          </w:tcPr>
          <w:p>
            <w:pPr>
              <w:ind w:left="80"/>
              <w:spacing w:after="0" w:line="202" w:lineRule="exact"/>
              <w:rPr>
                <w:sz w:val="20"/>
                <w:szCs w:val="20"/>
                <w:color w:val="auto"/>
              </w:rPr>
            </w:pPr>
            <w:r>
              <w:rPr>
                <w:rFonts w:ascii="Arial" w:cs="Arial" w:eastAsia="Arial" w:hAnsi="Arial"/>
                <w:sz w:val="18"/>
                <w:szCs w:val="18"/>
                <w:color w:val="auto"/>
              </w:rPr>
              <w:t>annual bonus into stock units, with a</w:t>
            </w: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shd w:val="clear" w:color="auto" w:fill="E3ECF0"/>
          </w:tcPr>
          <w:p>
            <w:pPr>
              <w:spacing w:after="0"/>
              <w:rPr>
                <w:sz w:val="17"/>
                <w:szCs w:val="17"/>
                <w:color w:val="auto"/>
              </w:rPr>
            </w:pPr>
          </w:p>
        </w:tc>
        <w:tc>
          <w:tcPr>
            <w:tcW w:w="3720" w:type="dxa"/>
            <w:vAlign w:val="bottom"/>
            <w:tcBorders>
              <w:right w:val="single" w:sz="8" w:color="47829E"/>
            </w:tcBorders>
            <w:shd w:val="clear" w:color="auto" w:fill="E3ECF0"/>
          </w:tcPr>
          <w:p>
            <w:pPr>
              <w:ind w:left="100"/>
              <w:spacing w:after="0" w:line="202" w:lineRule="exact"/>
              <w:rPr>
                <w:sz w:val="20"/>
                <w:szCs w:val="20"/>
                <w:color w:val="auto"/>
              </w:rPr>
            </w:pPr>
            <w:r>
              <w:rPr>
                <w:rFonts w:ascii="Arial" w:cs="Arial" w:eastAsia="Arial" w:hAnsi="Arial"/>
                <w:sz w:val="18"/>
                <w:szCs w:val="18"/>
                <w:color w:val="auto"/>
              </w:rPr>
              <w:t>units.</w:t>
            </w:r>
          </w:p>
        </w:tc>
        <w:tc>
          <w:tcPr>
            <w:tcW w:w="3740" w:type="dxa"/>
            <w:vAlign w:val="bottom"/>
            <w:tcBorders>
              <w:right w:val="single" w:sz="8" w:color="47829E"/>
            </w:tcBorders>
            <w:shd w:val="clear" w:color="auto" w:fill="E3ECF0"/>
          </w:tcPr>
          <w:p>
            <w:pPr>
              <w:ind w:left="80"/>
              <w:spacing w:after="0" w:line="202" w:lineRule="exact"/>
              <w:rPr>
                <w:sz w:val="20"/>
                <w:szCs w:val="20"/>
                <w:color w:val="auto"/>
              </w:rPr>
            </w:pPr>
            <w:r>
              <w:rPr>
                <w:rFonts w:ascii="Arial" w:cs="Arial" w:eastAsia="Arial" w:hAnsi="Arial"/>
                <w:sz w:val="18"/>
                <w:szCs w:val="18"/>
                <w:color w:val="auto"/>
              </w:rPr>
              <w:t>mandatory minimum of 35% for our CEO and</w:t>
            </w: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shd w:val="clear" w:color="auto" w:fill="E3ECF0"/>
          </w:tcPr>
          <w:p>
            <w:pPr>
              <w:spacing w:after="0"/>
              <w:rPr>
                <w:sz w:val="17"/>
                <w:szCs w:val="17"/>
                <w:color w:val="auto"/>
              </w:rPr>
            </w:pPr>
          </w:p>
        </w:tc>
        <w:tc>
          <w:tcPr>
            <w:tcW w:w="3720" w:type="dxa"/>
            <w:vAlign w:val="bottom"/>
            <w:tcBorders>
              <w:right w:val="single" w:sz="8" w:color="47829E"/>
            </w:tcBorders>
            <w:shd w:val="clear" w:color="auto" w:fill="E3ECF0"/>
          </w:tcPr>
          <w:p>
            <w:pPr>
              <w:spacing w:after="0"/>
              <w:rPr>
                <w:sz w:val="17"/>
                <w:szCs w:val="17"/>
                <w:color w:val="auto"/>
              </w:rPr>
            </w:pPr>
          </w:p>
        </w:tc>
        <w:tc>
          <w:tcPr>
            <w:tcW w:w="3740" w:type="dxa"/>
            <w:vAlign w:val="bottom"/>
            <w:tcBorders>
              <w:right w:val="single" w:sz="8" w:color="47829E"/>
            </w:tcBorders>
            <w:shd w:val="clear" w:color="auto" w:fill="E3ECF0"/>
          </w:tcPr>
          <w:p>
            <w:pPr>
              <w:ind w:left="80"/>
              <w:spacing w:after="0" w:line="202" w:lineRule="exact"/>
              <w:rPr>
                <w:sz w:val="20"/>
                <w:szCs w:val="20"/>
                <w:color w:val="auto"/>
              </w:rPr>
            </w:pPr>
            <w:r>
              <w:rPr>
                <w:rFonts w:ascii="Arial" w:cs="Arial" w:eastAsia="Arial" w:hAnsi="Arial"/>
                <w:sz w:val="18"/>
                <w:szCs w:val="18"/>
                <w:color w:val="auto"/>
              </w:rPr>
              <w:t>20% for other NEOs to be invested in</w:t>
            </w:r>
          </w:p>
        </w:tc>
        <w:tc>
          <w:tcPr>
            <w:tcW w:w="0" w:type="dxa"/>
            <w:vAlign w:val="bottom"/>
          </w:tcPr>
          <w:p>
            <w:pPr>
              <w:spacing w:after="0"/>
              <w:rPr>
                <w:sz w:val="1"/>
                <w:szCs w:val="1"/>
                <w:color w:val="auto"/>
              </w:rPr>
            </w:pPr>
          </w:p>
        </w:tc>
      </w:tr>
      <w:tr>
        <w:trPr>
          <w:trHeight w:val="199"/>
        </w:trPr>
        <w:tc>
          <w:tcPr>
            <w:tcW w:w="3980" w:type="dxa"/>
            <w:vAlign w:val="bottom"/>
            <w:tcBorders>
              <w:left w:val="single" w:sz="8" w:color="47829E"/>
              <w:right w:val="single" w:sz="8" w:color="47829E"/>
            </w:tcBorders>
            <w:vMerge w:val="restart"/>
            <w:shd w:val="clear" w:color="auto" w:fill="E3ECF0"/>
          </w:tcPr>
          <w:p>
            <w:pPr>
              <w:ind w:left="560"/>
              <w:spacing w:after="0"/>
              <w:rPr>
                <w:sz w:val="20"/>
                <w:szCs w:val="20"/>
                <w:color w:val="auto"/>
              </w:rPr>
            </w:pPr>
            <w:r>
              <w:rPr>
                <w:rFonts w:ascii="Arial" w:cs="Arial" w:eastAsia="Arial" w:hAnsi="Arial"/>
                <w:sz w:val="18"/>
                <w:szCs w:val="18"/>
                <w:i w:val="1"/>
                <w:iCs w:val="1"/>
                <w:color w:val="auto"/>
              </w:rPr>
              <w:t>One-Time Strategic Acquisition</w:t>
            </w:r>
          </w:p>
        </w:tc>
        <w:tc>
          <w:tcPr>
            <w:tcW w:w="3720" w:type="dxa"/>
            <w:vAlign w:val="bottom"/>
            <w:tcBorders>
              <w:right w:val="single" w:sz="8" w:color="47829E"/>
            </w:tcBorders>
            <w:shd w:val="clear" w:color="auto" w:fill="E3ECF0"/>
          </w:tcPr>
          <w:p>
            <w:pPr>
              <w:spacing w:after="0"/>
              <w:rPr>
                <w:sz w:val="17"/>
                <w:szCs w:val="17"/>
                <w:color w:val="auto"/>
              </w:rPr>
            </w:pPr>
          </w:p>
        </w:tc>
        <w:tc>
          <w:tcPr>
            <w:tcW w:w="3740" w:type="dxa"/>
            <w:vAlign w:val="bottom"/>
            <w:tcBorders>
              <w:right w:val="single" w:sz="8" w:color="47829E"/>
            </w:tcBorders>
            <w:shd w:val="clear" w:color="auto" w:fill="E3ECF0"/>
          </w:tcPr>
          <w:p>
            <w:pPr>
              <w:ind w:left="80"/>
              <w:spacing w:after="0" w:line="200" w:lineRule="exact"/>
              <w:rPr>
                <w:sz w:val="20"/>
                <w:szCs w:val="20"/>
                <w:color w:val="auto"/>
              </w:rPr>
            </w:pPr>
            <w:r>
              <w:rPr>
                <w:rFonts w:ascii="Arial" w:cs="Arial" w:eastAsia="Arial" w:hAnsi="Arial"/>
                <w:sz w:val="18"/>
                <w:szCs w:val="18"/>
                <w:color w:val="auto"/>
              </w:rPr>
              <w:t>common stock units.</w:t>
            </w:r>
          </w:p>
        </w:tc>
        <w:tc>
          <w:tcPr>
            <w:tcW w:w="0" w:type="dxa"/>
            <w:vAlign w:val="bottom"/>
          </w:tcPr>
          <w:p>
            <w:pPr>
              <w:spacing w:after="0"/>
              <w:rPr>
                <w:sz w:val="1"/>
                <w:szCs w:val="1"/>
                <w:color w:val="auto"/>
              </w:rPr>
            </w:pPr>
          </w:p>
        </w:tc>
      </w:tr>
      <w:tr>
        <w:trPr>
          <w:trHeight w:val="188"/>
        </w:trPr>
        <w:tc>
          <w:tcPr>
            <w:tcW w:w="3980" w:type="dxa"/>
            <w:vAlign w:val="bottom"/>
            <w:tcBorders>
              <w:left w:val="single" w:sz="8" w:color="47829E"/>
              <w:right w:val="single" w:sz="8" w:color="47829E"/>
            </w:tcBorders>
            <w:vMerge w:val="continue"/>
            <w:shd w:val="clear" w:color="auto" w:fill="E3ECF0"/>
          </w:tcPr>
          <w:p>
            <w:pPr>
              <w:spacing w:after="0"/>
              <w:rPr>
                <w:sz w:val="16"/>
                <w:szCs w:val="16"/>
                <w:color w:val="auto"/>
              </w:rPr>
            </w:pPr>
          </w:p>
        </w:tc>
        <w:tc>
          <w:tcPr>
            <w:tcW w:w="3720" w:type="dxa"/>
            <w:vAlign w:val="bottom"/>
            <w:tcBorders>
              <w:right w:val="single" w:sz="8" w:color="47829E"/>
            </w:tcBorders>
            <w:shd w:val="clear" w:color="auto" w:fill="E3ECF0"/>
          </w:tcPr>
          <w:p>
            <w:pPr>
              <w:ind w:left="100"/>
              <w:spacing w:after="0" w:line="188" w:lineRule="exact"/>
              <w:rPr>
                <w:sz w:val="20"/>
                <w:szCs w:val="20"/>
                <w:color w:val="auto"/>
              </w:rPr>
            </w:pPr>
            <w:r>
              <w:rPr>
                <w:rFonts w:ascii="Arial" w:cs="Arial" w:eastAsia="Arial" w:hAnsi="Arial"/>
                <w:sz w:val="18"/>
                <w:szCs w:val="18"/>
                <w:color w:val="auto"/>
              </w:rPr>
              <w:t>To reward executives for achieving the</w:t>
            </w:r>
          </w:p>
        </w:tc>
        <w:tc>
          <w:tcPr>
            <w:tcW w:w="3740" w:type="dxa"/>
            <w:vAlign w:val="bottom"/>
            <w:tcBorders>
              <w:right w:val="single" w:sz="8" w:color="47829E"/>
            </w:tcBorders>
            <w:shd w:val="clear" w:color="auto" w:fill="E3ECF0"/>
          </w:tcPr>
          <w:p>
            <w:pPr>
              <w:ind w:left="80"/>
              <w:spacing w:after="0" w:line="188" w:lineRule="exact"/>
              <w:rPr>
                <w:sz w:val="20"/>
                <w:szCs w:val="20"/>
                <w:color w:val="auto"/>
              </w:rPr>
            </w:pPr>
            <w:r>
              <w:rPr>
                <w:rFonts w:ascii="Arial" w:cs="Arial" w:eastAsia="Arial" w:hAnsi="Arial"/>
                <w:sz w:val="18"/>
                <w:szCs w:val="18"/>
                <w:color w:val="auto"/>
              </w:rPr>
              <w:t>One-time cash bonus.</w:t>
            </w:r>
          </w:p>
        </w:tc>
        <w:tc>
          <w:tcPr>
            <w:tcW w:w="0" w:type="dxa"/>
            <w:vAlign w:val="bottom"/>
          </w:tcPr>
          <w:p>
            <w:pPr>
              <w:spacing w:after="0"/>
              <w:rPr>
                <w:sz w:val="1"/>
                <w:szCs w:val="1"/>
                <w:color w:val="auto"/>
              </w:rPr>
            </w:pPr>
          </w:p>
        </w:tc>
      </w:tr>
      <w:tr>
        <w:trPr>
          <w:trHeight w:val="221"/>
        </w:trPr>
        <w:tc>
          <w:tcPr>
            <w:tcW w:w="3980" w:type="dxa"/>
            <w:vAlign w:val="bottom"/>
            <w:tcBorders>
              <w:left w:val="single" w:sz="8" w:color="47829E"/>
              <w:right w:val="single" w:sz="8" w:color="47829E"/>
            </w:tcBorders>
            <w:shd w:val="clear" w:color="auto" w:fill="E3ECF0"/>
          </w:tcPr>
          <w:p>
            <w:pPr>
              <w:ind w:left="560"/>
              <w:spacing w:after="0"/>
              <w:rPr>
                <w:sz w:val="20"/>
                <w:szCs w:val="20"/>
                <w:color w:val="auto"/>
              </w:rPr>
            </w:pPr>
            <w:r>
              <w:rPr>
                <w:rFonts w:ascii="Arial" w:cs="Arial" w:eastAsia="Arial" w:hAnsi="Arial"/>
                <w:sz w:val="18"/>
                <w:szCs w:val="18"/>
                <w:i w:val="1"/>
                <w:iCs w:val="1"/>
                <w:color w:val="auto"/>
              </w:rPr>
              <w:t>Bonus</w:t>
            </w:r>
          </w:p>
        </w:tc>
        <w:tc>
          <w:tcPr>
            <w:tcW w:w="3720" w:type="dxa"/>
            <w:vAlign w:val="bottom"/>
            <w:tcBorders>
              <w:right w:val="single" w:sz="8" w:color="47829E"/>
            </w:tcBorders>
            <w:shd w:val="clear" w:color="auto" w:fill="E3ECF0"/>
          </w:tcPr>
          <w:p>
            <w:pPr>
              <w:ind w:left="100"/>
              <w:spacing w:after="0"/>
              <w:rPr>
                <w:sz w:val="20"/>
                <w:szCs w:val="20"/>
                <w:color w:val="auto"/>
              </w:rPr>
            </w:pPr>
            <w:r>
              <w:rPr>
                <w:rFonts w:ascii="Arial" w:cs="Arial" w:eastAsia="Arial" w:hAnsi="Arial"/>
                <w:sz w:val="18"/>
                <w:szCs w:val="18"/>
                <w:color w:val="auto"/>
              </w:rPr>
              <w:t>Company’s objectives in executing the</w:t>
            </w:r>
          </w:p>
        </w:tc>
        <w:tc>
          <w:tcPr>
            <w:tcW w:w="3740" w:type="dxa"/>
            <w:vAlign w:val="bottom"/>
            <w:tcBorders>
              <w:right w:val="single" w:sz="8" w:color="47829E"/>
            </w:tcBorders>
            <w:shd w:val="clear" w:color="auto" w:fill="E3ECF0"/>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980" w:type="dxa"/>
            <w:vAlign w:val="bottom"/>
            <w:tcBorders>
              <w:left w:val="single" w:sz="8" w:color="47829E"/>
              <w:right w:val="single" w:sz="8" w:color="47829E"/>
            </w:tcBorders>
            <w:shd w:val="clear" w:color="auto" w:fill="E3ECF0"/>
          </w:tcPr>
          <w:p>
            <w:pPr>
              <w:spacing w:after="0"/>
              <w:rPr>
                <w:sz w:val="17"/>
                <w:szCs w:val="17"/>
                <w:color w:val="auto"/>
              </w:rPr>
            </w:pPr>
          </w:p>
        </w:tc>
        <w:tc>
          <w:tcPr>
            <w:tcW w:w="3720" w:type="dxa"/>
            <w:vAlign w:val="bottom"/>
            <w:tcBorders>
              <w:right w:val="single" w:sz="8" w:color="47829E"/>
            </w:tcBorders>
            <w:shd w:val="clear" w:color="auto" w:fill="E3ECF0"/>
          </w:tcPr>
          <w:p>
            <w:pPr>
              <w:ind w:left="100"/>
              <w:spacing w:after="0" w:line="200" w:lineRule="exact"/>
              <w:rPr>
                <w:sz w:val="20"/>
                <w:szCs w:val="20"/>
                <w:color w:val="auto"/>
              </w:rPr>
            </w:pPr>
            <w:r>
              <w:rPr>
                <w:rFonts w:ascii="Arial" w:cs="Arial" w:eastAsia="Arial" w:hAnsi="Arial"/>
                <w:sz w:val="18"/>
                <w:szCs w:val="18"/>
                <w:color w:val="auto"/>
              </w:rPr>
              <w:t>acquisition of and synergies related to TXI.</w:t>
            </w:r>
          </w:p>
        </w:tc>
        <w:tc>
          <w:tcPr>
            <w:tcW w:w="3740" w:type="dxa"/>
            <w:vAlign w:val="bottom"/>
            <w:tcBorders>
              <w:right w:val="single" w:sz="8" w:color="47829E"/>
            </w:tcBorders>
            <w:shd w:val="clear" w:color="auto" w:fill="E3ECF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tcBorders>
              <w:left w:val="single" w:sz="8" w:color="47829E"/>
              <w:right w:val="single" w:sz="8" w:color="47829E"/>
            </w:tcBorders>
          </w:tcPr>
          <w:p>
            <w:pPr>
              <w:ind w:left="120"/>
              <w:spacing w:after="0" w:line="206" w:lineRule="exact"/>
              <w:rPr>
                <w:sz w:val="20"/>
                <w:szCs w:val="20"/>
                <w:color w:val="auto"/>
              </w:rPr>
            </w:pPr>
            <w:r>
              <w:rPr>
                <w:rFonts w:ascii="Arial" w:cs="Arial" w:eastAsia="Arial" w:hAnsi="Arial"/>
                <w:sz w:val="18"/>
                <w:szCs w:val="18"/>
                <w:b w:val="1"/>
                <w:bCs w:val="1"/>
                <w:color w:val="auto"/>
              </w:rPr>
              <w:t>Long-Term Incentive Awards</w:t>
            </w:r>
          </w:p>
        </w:tc>
        <w:tc>
          <w:tcPr>
            <w:tcW w:w="3720" w:type="dxa"/>
            <w:vAlign w:val="bottom"/>
            <w:tcBorders>
              <w:right w:val="single" w:sz="8" w:color="47829E"/>
            </w:tcBorders>
          </w:tcPr>
          <w:p>
            <w:pPr>
              <w:ind w:left="100"/>
              <w:spacing w:after="0" w:line="206" w:lineRule="exact"/>
              <w:rPr>
                <w:sz w:val="20"/>
                <w:szCs w:val="20"/>
                <w:color w:val="auto"/>
              </w:rPr>
            </w:pPr>
            <w:r>
              <w:rPr>
                <w:rFonts w:ascii="Arial" w:cs="Arial" w:eastAsia="Arial" w:hAnsi="Arial"/>
                <w:sz w:val="18"/>
                <w:szCs w:val="18"/>
                <w:color w:val="auto"/>
                <w:w w:val="96"/>
              </w:rPr>
              <w:t>To align executives with shareholder interests,</w:t>
            </w:r>
          </w:p>
        </w:tc>
        <w:tc>
          <w:tcPr>
            <w:tcW w:w="3740" w:type="dxa"/>
            <w:vAlign w:val="bottom"/>
            <w:tcBorders>
              <w:right w:val="single" w:sz="8" w:color="47829E"/>
            </w:tcBorders>
          </w:tcPr>
          <w:p>
            <w:pPr>
              <w:ind w:left="80"/>
              <w:spacing w:after="0" w:line="206" w:lineRule="exact"/>
              <w:rPr>
                <w:sz w:val="20"/>
                <w:szCs w:val="20"/>
                <w:color w:val="auto"/>
              </w:rPr>
            </w:pPr>
            <w:r>
              <w:rPr>
                <w:rFonts w:ascii="Arial" w:cs="Arial" w:eastAsia="Arial" w:hAnsi="Arial"/>
                <w:sz w:val="18"/>
                <w:szCs w:val="18"/>
                <w:color w:val="auto"/>
              </w:rPr>
              <w:t>Variable compensation component.</w:t>
            </w: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rPr>
              <w:t>to reinforce long-term value creation, and to</w:t>
            </w:r>
          </w:p>
        </w:tc>
        <w:tc>
          <w:tcPr>
            <w:tcW w:w="3740" w:type="dxa"/>
            <w:vAlign w:val="bottom"/>
            <w:tcBorders>
              <w:right w:val="single" w:sz="8" w:color="47829E"/>
            </w:tcBorders>
          </w:tcPr>
          <w:p>
            <w:pPr>
              <w:ind w:left="80"/>
              <w:spacing w:after="0" w:line="202" w:lineRule="exact"/>
              <w:rPr>
                <w:sz w:val="20"/>
                <w:szCs w:val="20"/>
                <w:color w:val="auto"/>
              </w:rPr>
            </w:pPr>
            <w:r>
              <w:rPr>
                <w:rFonts w:ascii="Arial" w:cs="Arial" w:eastAsia="Arial" w:hAnsi="Arial"/>
                <w:sz w:val="18"/>
                <w:szCs w:val="18"/>
                <w:color w:val="auto"/>
              </w:rPr>
              <w:t>Reviewed and granted annually.</w:t>
            </w: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rPr>
              <w:t>provide a balanced portfolio of long-term</w:t>
            </w:r>
          </w:p>
        </w:tc>
        <w:tc>
          <w:tcPr>
            <w:tcW w:w="3740" w:type="dxa"/>
            <w:vAlign w:val="bottom"/>
            <w:tcBorders>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vMerge w:val="restart"/>
          </w:tcPr>
          <w:p>
            <w:pPr>
              <w:ind w:left="560"/>
              <w:spacing w:after="0"/>
              <w:rPr>
                <w:sz w:val="20"/>
                <w:szCs w:val="20"/>
                <w:color w:val="auto"/>
              </w:rPr>
            </w:pPr>
            <w:r>
              <w:rPr>
                <w:rFonts w:ascii="Arial" w:cs="Arial" w:eastAsia="Arial" w:hAnsi="Arial"/>
                <w:sz w:val="18"/>
                <w:szCs w:val="18"/>
                <w:i w:val="1"/>
                <w:iCs w:val="1"/>
                <w:color w:val="auto"/>
              </w:rPr>
              <w:t>Performance Share Units (PSU)</w:t>
            </w: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rPr>
              <w:t>incentive opportunity.</w:t>
            </w:r>
          </w:p>
        </w:tc>
        <w:tc>
          <w:tcPr>
            <w:tcW w:w="3740" w:type="dxa"/>
            <w:vAlign w:val="bottom"/>
            <w:tcBorders>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vMerge w:val="continue"/>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rPr>
              <w:t>To motivate executives by tying incentives to</w:t>
            </w:r>
          </w:p>
        </w:tc>
        <w:tc>
          <w:tcPr>
            <w:tcW w:w="3740" w:type="dxa"/>
            <w:vAlign w:val="bottom"/>
            <w:tcBorders>
              <w:right w:val="single" w:sz="8" w:color="47829E"/>
            </w:tcBorders>
          </w:tcPr>
          <w:p>
            <w:pPr>
              <w:ind w:left="80"/>
              <w:spacing w:after="0" w:line="202" w:lineRule="exact"/>
              <w:rPr>
                <w:sz w:val="20"/>
                <w:szCs w:val="20"/>
                <w:color w:val="auto"/>
              </w:rPr>
            </w:pPr>
            <w:r>
              <w:rPr>
                <w:rFonts w:ascii="Arial" w:cs="Arial" w:eastAsia="Arial" w:hAnsi="Arial"/>
                <w:sz w:val="18"/>
                <w:szCs w:val="18"/>
                <w:color w:val="auto"/>
              </w:rPr>
              <w:t>New program in 2014; grants based on</w:t>
            </w: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w w:val="97"/>
              </w:rPr>
              <w:t>our multi-year financial goals and relative TSR</w:t>
            </w:r>
          </w:p>
        </w:tc>
        <w:tc>
          <w:tcPr>
            <w:tcW w:w="3740" w:type="dxa"/>
            <w:vAlign w:val="bottom"/>
            <w:tcBorders>
              <w:right w:val="single" w:sz="8" w:color="47829E"/>
            </w:tcBorders>
          </w:tcPr>
          <w:p>
            <w:pPr>
              <w:ind w:left="80"/>
              <w:spacing w:after="0" w:line="202" w:lineRule="exact"/>
              <w:rPr>
                <w:sz w:val="20"/>
                <w:szCs w:val="20"/>
                <w:color w:val="auto"/>
              </w:rPr>
            </w:pPr>
            <w:r>
              <w:rPr>
                <w:rFonts w:ascii="Arial" w:cs="Arial" w:eastAsia="Arial" w:hAnsi="Arial"/>
                <w:sz w:val="18"/>
                <w:szCs w:val="18"/>
                <w:color w:val="auto"/>
              </w:rPr>
              <w:t>three-year ROS, EBITDA and TSR</w:t>
            </w: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rPr>
              <w:t>reinforcing the link between our executive</w:t>
            </w:r>
          </w:p>
        </w:tc>
        <w:tc>
          <w:tcPr>
            <w:tcW w:w="3740" w:type="dxa"/>
            <w:vAlign w:val="bottom"/>
            <w:tcBorders>
              <w:right w:val="single" w:sz="8" w:color="47829E"/>
            </w:tcBorders>
          </w:tcPr>
          <w:p>
            <w:pPr>
              <w:ind w:left="80"/>
              <w:spacing w:after="0" w:line="202" w:lineRule="exact"/>
              <w:rPr>
                <w:sz w:val="20"/>
                <w:szCs w:val="20"/>
                <w:color w:val="auto"/>
              </w:rPr>
            </w:pPr>
            <w:r>
              <w:rPr>
                <w:rFonts w:ascii="Arial" w:cs="Arial" w:eastAsia="Arial" w:hAnsi="Arial"/>
                <w:sz w:val="18"/>
                <w:szCs w:val="18"/>
                <w:color w:val="auto"/>
              </w:rPr>
              <w:t>performance relative to peers.</w:t>
            </w: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vMerge w:val="restart"/>
          </w:tcPr>
          <w:p>
            <w:pPr>
              <w:ind w:left="560"/>
              <w:spacing w:after="0"/>
              <w:rPr>
                <w:sz w:val="20"/>
                <w:szCs w:val="20"/>
                <w:color w:val="auto"/>
              </w:rPr>
            </w:pPr>
            <w:r>
              <w:rPr>
                <w:rFonts w:ascii="Arial" w:cs="Arial" w:eastAsia="Arial" w:hAnsi="Arial"/>
                <w:sz w:val="18"/>
                <w:szCs w:val="18"/>
                <w:i w:val="1"/>
                <w:iCs w:val="1"/>
                <w:color w:val="auto"/>
              </w:rPr>
              <w:t>Long-Term Incentive Plan (LTIP)</w:t>
            </w: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rPr>
              <w:t>officers and our shareholders.</w:t>
            </w:r>
          </w:p>
        </w:tc>
        <w:tc>
          <w:tcPr>
            <w:tcW w:w="3740" w:type="dxa"/>
            <w:vAlign w:val="bottom"/>
            <w:tcBorders>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vMerge w:val="continue"/>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rPr>
              <w:t>To motivate the appropriate behaviors</w:t>
            </w:r>
          </w:p>
        </w:tc>
        <w:tc>
          <w:tcPr>
            <w:tcW w:w="3740" w:type="dxa"/>
            <w:vAlign w:val="bottom"/>
            <w:tcBorders>
              <w:right w:val="single" w:sz="8" w:color="47829E"/>
            </w:tcBorders>
          </w:tcPr>
          <w:p>
            <w:pPr>
              <w:ind w:left="80"/>
              <w:spacing w:after="0" w:line="202" w:lineRule="exact"/>
              <w:rPr>
                <w:sz w:val="20"/>
                <w:szCs w:val="20"/>
                <w:color w:val="auto"/>
              </w:rPr>
            </w:pPr>
            <w:r>
              <w:rPr>
                <w:rFonts w:ascii="Arial" w:cs="Arial" w:eastAsia="Arial" w:hAnsi="Arial"/>
                <w:sz w:val="18"/>
                <w:szCs w:val="18"/>
                <w:color w:val="auto"/>
              </w:rPr>
              <w:t>Stock options and RSU grant sizes vary</w:t>
            </w: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w w:val="97"/>
              </w:rPr>
              <w:t>delivering superior long-term total shareholder</w:t>
            </w:r>
          </w:p>
        </w:tc>
        <w:tc>
          <w:tcPr>
            <w:tcW w:w="3740" w:type="dxa"/>
            <w:vAlign w:val="bottom"/>
            <w:tcBorders>
              <w:right w:val="single" w:sz="8" w:color="47829E"/>
            </w:tcBorders>
          </w:tcPr>
          <w:p>
            <w:pPr>
              <w:ind w:left="80"/>
              <w:spacing w:after="0" w:line="202" w:lineRule="exact"/>
              <w:rPr>
                <w:sz w:val="20"/>
                <w:szCs w:val="20"/>
                <w:color w:val="auto"/>
              </w:rPr>
            </w:pPr>
            <w:r>
              <w:rPr>
                <w:rFonts w:ascii="Arial" w:cs="Arial" w:eastAsia="Arial" w:hAnsi="Arial"/>
                <w:sz w:val="18"/>
                <w:szCs w:val="18"/>
                <w:color w:val="auto"/>
              </w:rPr>
              <w:t>based on Martin Marietta’s annual financial</w:t>
            </w: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rPr>
              <w:t>return. Depending on Company’s</w:t>
            </w:r>
          </w:p>
        </w:tc>
        <w:tc>
          <w:tcPr>
            <w:tcW w:w="3740" w:type="dxa"/>
            <w:vAlign w:val="bottom"/>
            <w:tcBorders>
              <w:right w:val="single" w:sz="8" w:color="47829E"/>
            </w:tcBorders>
          </w:tcPr>
          <w:p>
            <w:pPr>
              <w:ind w:left="80"/>
              <w:spacing w:after="0" w:line="202" w:lineRule="exact"/>
              <w:rPr>
                <w:sz w:val="20"/>
                <w:szCs w:val="20"/>
                <w:color w:val="auto"/>
              </w:rPr>
            </w:pPr>
            <w:r>
              <w:rPr>
                <w:rFonts w:ascii="Arial" w:cs="Arial" w:eastAsia="Arial" w:hAnsi="Arial"/>
                <w:sz w:val="18"/>
                <w:szCs w:val="18"/>
                <w:color w:val="auto"/>
              </w:rPr>
              <w:t>performance of ROIC against WACC and</w:t>
            </w: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rPr>
              <w:t>performance, award can be zero.</w:t>
            </w:r>
          </w:p>
        </w:tc>
        <w:tc>
          <w:tcPr>
            <w:tcW w:w="3740" w:type="dxa"/>
            <w:vAlign w:val="bottom"/>
            <w:tcBorders>
              <w:right w:val="single" w:sz="8" w:color="47829E"/>
            </w:tcBorders>
          </w:tcPr>
          <w:p>
            <w:pPr>
              <w:ind w:left="80"/>
              <w:spacing w:after="0" w:line="202" w:lineRule="exact"/>
              <w:rPr>
                <w:sz w:val="20"/>
                <w:szCs w:val="20"/>
                <w:color w:val="auto"/>
              </w:rPr>
            </w:pPr>
            <w:r>
              <w:rPr>
                <w:rFonts w:ascii="Arial" w:cs="Arial" w:eastAsia="Arial" w:hAnsi="Arial"/>
                <w:sz w:val="18"/>
                <w:szCs w:val="18"/>
                <w:color w:val="auto"/>
              </w:rPr>
              <w:t>peer group performance comparison.</w:t>
            </w: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rPr>
              <w:t>Stock options (1/3): To motivate behaviors</w:t>
            </w:r>
          </w:p>
        </w:tc>
        <w:tc>
          <w:tcPr>
            <w:tcW w:w="3740" w:type="dxa"/>
            <w:vAlign w:val="bottom"/>
            <w:tcBorders>
              <w:right w:val="single" w:sz="8" w:color="47829E"/>
            </w:tcBorders>
          </w:tcPr>
          <w:p>
            <w:pPr>
              <w:ind w:left="80"/>
              <w:spacing w:after="0" w:line="202" w:lineRule="exact"/>
              <w:rPr>
                <w:sz w:val="20"/>
                <w:szCs w:val="20"/>
                <w:color w:val="auto"/>
              </w:rPr>
            </w:pPr>
            <w:r>
              <w:rPr>
                <w:rFonts w:ascii="Arial" w:cs="Arial" w:eastAsia="Arial" w:hAnsi="Arial"/>
                <w:sz w:val="18"/>
                <w:szCs w:val="18"/>
                <w:color w:val="auto"/>
              </w:rPr>
              <w:t>Stock price growth above the exercise price.</w:t>
            </w: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rPr>
              <w:t>increasing shareholder value above the</w:t>
            </w:r>
          </w:p>
        </w:tc>
        <w:tc>
          <w:tcPr>
            <w:tcW w:w="3740" w:type="dxa"/>
            <w:vAlign w:val="bottom"/>
            <w:tcBorders>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rPr>
              <w:t>exercise price.</w:t>
            </w:r>
          </w:p>
        </w:tc>
        <w:tc>
          <w:tcPr>
            <w:tcW w:w="3740" w:type="dxa"/>
            <w:vAlign w:val="bottom"/>
            <w:tcBorders>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rPr>
              <w:t>RSUs (2/3): To motivate the behaviors</w:t>
            </w:r>
          </w:p>
        </w:tc>
        <w:tc>
          <w:tcPr>
            <w:tcW w:w="3740" w:type="dxa"/>
            <w:vAlign w:val="bottom"/>
            <w:tcBorders>
              <w:right w:val="single" w:sz="8" w:color="47829E"/>
            </w:tcBorders>
          </w:tcPr>
          <w:p>
            <w:pPr>
              <w:ind w:left="80"/>
              <w:spacing w:after="0" w:line="202" w:lineRule="exact"/>
              <w:rPr>
                <w:sz w:val="20"/>
                <w:szCs w:val="20"/>
                <w:color w:val="auto"/>
              </w:rPr>
            </w:pPr>
            <w:r>
              <w:rPr>
                <w:rFonts w:ascii="Arial" w:cs="Arial" w:eastAsia="Arial" w:hAnsi="Arial"/>
                <w:sz w:val="18"/>
                <w:szCs w:val="18"/>
                <w:color w:val="auto"/>
              </w:rPr>
              <w:t>Stock price growth.</w:t>
            </w:r>
          </w:p>
        </w:tc>
        <w:tc>
          <w:tcPr>
            <w:tcW w:w="0" w:type="dxa"/>
            <w:vAlign w:val="bottom"/>
          </w:tcPr>
          <w:p>
            <w:pPr>
              <w:spacing w:after="0"/>
              <w:rPr>
                <w:sz w:val="1"/>
                <w:szCs w:val="1"/>
                <w:color w:val="auto"/>
              </w:rPr>
            </w:pPr>
          </w:p>
        </w:tc>
      </w:tr>
      <w:tr>
        <w:trPr>
          <w:trHeight w:val="203"/>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rPr>
              <w:t>increasing shareholder value and promote a</w:t>
            </w:r>
          </w:p>
        </w:tc>
        <w:tc>
          <w:tcPr>
            <w:tcW w:w="3740" w:type="dxa"/>
            <w:vAlign w:val="bottom"/>
            <w:tcBorders>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980" w:type="dxa"/>
            <w:vAlign w:val="bottom"/>
            <w:tcBorders>
              <w:left w:val="single" w:sz="8" w:color="47829E"/>
              <w:bottom w:val="single" w:sz="8" w:color="47829E"/>
              <w:right w:val="single" w:sz="8" w:color="47829E"/>
            </w:tcBorders>
          </w:tcPr>
          <w:p>
            <w:pPr>
              <w:spacing w:after="0"/>
              <w:rPr>
                <w:sz w:val="17"/>
                <w:szCs w:val="17"/>
                <w:color w:val="auto"/>
              </w:rPr>
            </w:pPr>
          </w:p>
        </w:tc>
        <w:tc>
          <w:tcPr>
            <w:tcW w:w="3720" w:type="dxa"/>
            <w:vAlign w:val="bottom"/>
            <w:tcBorders>
              <w:bottom w:val="single" w:sz="8" w:color="47829E"/>
              <w:right w:val="single" w:sz="8" w:color="47829E"/>
            </w:tcBorders>
          </w:tcPr>
          <w:p>
            <w:pPr>
              <w:ind w:left="100"/>
              <w:spacing w:after="0" w:line="200" w:lineRule="exact"/>
              <w:rPr>
                <w:sz w:val="20"/>
                <w:szCs w:val="20"/>
                <w:color w:val="auto"/>
              </w:rPr>
            </w:pPr>
            <w:r>
              <w:rPr>
                <w:rFonts w:ascii="Arial" w:cs="Arial" w:eastAsia="Arial" w:hAnsi="Arial"/>
                <w:sz w:val="18"/>
                <w:szCs w:val="18"/>
                <w:color w:val="auto"/>
              </w:rPr>
              <w:t>base-level of executive retention.</w:t>
            </w:r>
          </w:p>
        </w:tc>
        <w:tc>
          <w:tcPr>
            <w:tcW w:w="3740" w:type="dxa"/>
            <w:vAlign w:val="bottom"/>
            <w:tcBorders>
              <w:bottom w:val="single" w:sz="8" w:color="47829E"/>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3980" w:type="dxa"/>
            <w:vAlign w:val="bottom"/>
          </w:tcPr>
          <w:p>
            <w:pPr>
              <w:spacing w:after="0"/>
              <w:rPr>
                <w:sz w:val="24"/>
                <w:szCs w:val="24"/>
                <w:color w:val="auto"/>
              </w:rPr>
            </w:pPr>
          </w:p>
        </w:tc>
        <w:tc>
          <w:tcPr>
            <w:tcW w:w="3720" w:type="dxa"/>
            <w:vAlign w:val="bottom"/>
          </w:tcPr>
          <w:p>
            <w:pPr>
              <w:ind w:left="1640"/>
              <w:spacing w:after="0"/>
              <w:rPr>
                <w:sz w:val="20"/>
                <w:szCs w:val="20"/>
                <w:color w:val="auto"/>
              </w:rPr>
            </w:pPr>
            <w:r>
              <w:rPr>
                <w:rFonts w:ascii="Arial" w:cs="Arial" w:eastAsia="Arial" w:hAnsi="Arial"/>
                <w:sz w:val="18"/>
                <w:szCs w:val="18"/>
                <w:color w:val="auto"/>
              </w:rPr>
              <w:t>28</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69" w:right="21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6"/>
        </w:trPr>
        <w:tc>
          <w:tcPr>
            <w:tcW w:w="3980" w:type="dxa"/>
            <w:vAlign w:val="bottom"/>
            <w:tcBorders>
              <w:left w:val="single" w:sz="8" w:color="47829E"/>
              <w:right w:val="single" w:sz="8" w:color="47829E"/>
            </w:tcBorders>
            <w:shd w:val="clear" w:color="auto" w:fill="47829E"/>
          </w:tcPr>
          <w:p>
            <w:pPr>
              <w:ind w:left="120"/>
              <w:spacing w:after="0"/>
              <w:rPr>
                <w:sz w:val="20"/>
                <w:szCs w:val="20"/>
                <w:color w:val="auto"/>
              </w:rPr>
            </w:pPr>
            <w:r>
              <w:rPr>
                <w:rFonts w:ascii="Arial" w:cs="Arial" w:eastAsia="Arial" w:hAnsi="Arial"/>
                <w:sz w:val="18"/>
                <w:szCs w:val="18"/>
                <w:b w:val="1"/>
                <w:bCs w:val="1"/>
                <w:color w:val="FFFFFF"/>
              </w:rPr>
              <w:t>Element</w:t>
            </w:r>
          </w:p>
        </w:tc>
        <w:tc>
          <w:tcPr>
            <w:tcW w:w="3720" w:type="dxa"/>
            <w:vAlign w:val="bottom"/>
            <w:tcBorders>
              <w:right w:val="single" w:sz="8" w:color="47829E"/>
            </w:tcBorders>
            <w:shd w:val="clear" w:color="auto" w:fill="47829E"/>
          </w:tcPr>
          <w:p>
            <w:pPr>
              <w:ind w:left="100"/>
              <w:spacing w:after="0"/>
              <w:rPr>
                <w:sz w:val="20"/>
                <w:szCs w:val="20"/>
                <w:color w:val="auto"/>
              </w:rPr>
            </w:pPr>
            <w:r>
              <w:rPr>
                <w:rFonts w:ascii="Arial" w:cs="Arial" w:eastAsia="Arial" w:hAnsi="Arial"/>
                <w:sz w:val="18"/>
                <w:szCs w:val="18"/>
                <w:b w:val="1"/>
                <w:bCs w:val="1"/>
                <w:color w:val="FFFFFF"/>
              </w:rPr>
              <w:t>Primary Purpose</w:t>
            </w:r>
          </w:p>
        </w:tc>
        <w:tc>
          <w:tcPr>
            <w:tcW w:w="3740" w:type="dxa"/>
            <w:vAlign w:val="bottom"/>
            <w:tcBorders>
              <w:right w:val="single" w:sz="8" w:color="47829E"/>
            </w:tcBorders>
            <w:shd w:val="clear" w:color="auto" w:fill="47829E"/>
          </w:tcPr>
          <w:p>
            <w:pPr>
              <w:ind w:left="80"/>
              <w:spacing w:after="0"/>
              <w:rPr>
                <w:sz w:val="20"/>
                <w:szCs w:val="20"/>
                <w:color w:val="auto"/>
              </w:rPr>
            </w:pPr>
            <w:r>
              <w:rPr>
                <w:rFonts w:ascii="Arial" w:cs="Arial" w:eastAsia="Arial" w:hAnsi="Arial"/>
                <w:sz w:val="18"/>
                <w:szCs w:val="18"/>
                <w:b w:val="1"/>
                <w:bCs w:val="1"/>
                <w:color w:val="FFFFFF"/>
              </w:rPr>
              <w:t>Key Characteristics</w:t>
            </w:r>
          </w:p>
        </w:tc>
      </w:tr>
      <w:tr>
        <w:trPr>
          <w:trHeight w:val="206"/>
        </w:trPr>
        <w:tc>
          <w:tcPr>
            <w:tcW w:w="3980" w:type="dxa"/>
            <w:vAlign w:val="bottom"/>
            <w:tcBorders>
              <w:left w:val="single" w:sz="8" w:color="47829E"/>
              <w:right w:val="single" w:sz="8" w:color="47829E"/>
            </w:tcBorders>
          </w:tcPr>
          <w:p>
            <w:pPr>
              <w:ind w:left="560"/>
              <w:spacing w:after="0" w:line="206" w:lineRule="exact"/>
              <w:rPr>
                <w:sz w:val="20"/>
                <w:szCs w:val="20"/>
                <w:color w:val="auto"/>
              </w:rPr>
            </w:pPr>
            <w:r>
              <w:rPr>
                <w:rFonts w:ascii="Arial" w:cs="Arial" w:eastAsia="Arial" w:hAnsi="Arial"/>
                <w:sz w:val="18"/>
                <w:szCs w:val="18"/>
                <w:i w:val="1"/>
                <w:iCs w:val="1"/>
                <w:color w:val="auto"/>
              </w:rPr>
              <w:t>One-Time Transformation Equity Grant</w:t>
            </w:r>
          </w:p>
        </w:tc>
        <w:tc>
          <w:tcPr>
            <w:tcW w:w="3720" w:type="dxa"/>
            <w:vAlign w:val="bottom"/>
            <w:tcBorders>
              <w:right w:val="single" w:sz="8" w:color="47829E"/>
            </w:tcBorders>
          </w:tcPr>
          <w:p>
            <w:pPr>
              <w:ind w:left="100"/>
              <w:spacing w:after="0" w:line="206" w:lineRule="exact"/>
              <w:rPr>
                <w:sz w:val="20"/>
                <w:szCs w:val="20"/>
                <w:color w:val="auto"/>
              </w:rPr>
            </w:pPr>
            <w:r>
              <w:rPr>
                <w:rFonts w:ascii="Arial" w:cs="Arial" w:eastAsia="Arial" w:hAnsi="Arial"/>
                <w:sz w:val="18"/>
                <w:szCs w:val="18"/>
                <w:color w:val="auto"/>
              </w:rPr>
              <w:t>To ensure a stable and focused senior</w:t>
            </w:r>
          </w:p>
        </w:tc>
        <w:tc>
          <w:tcPr>
            <w:tcW w:w="3740" w:type="dxa"/>
            <w:vAlign w:val="bottom"/>
            <w:tcBorders>
              <w:right w:val="single" w:sz="8" w:color="47829E"/>
            </w:tcBorders>
          </w:tcPr>
          <w:p>
            <w:pPr>
              <w:ind w:left="80"/>
              <w:spacing w:after="0" w:line="206" w:lineRule="exact"/>
              <w:rPr>
                <w:sz w:val="20"/>
                <w:szCs w:val="20"/>
                <w:color w:val="auto"/>
              </w:rPr>
            </w:pPr>
            <w:r>
              <w:rPr>
                <w:rFonts w:ascii="Arial" w:cs="Arial" w:eastAsia="Arial" w:hAnsi="Arial"/>
                <w:sz w:val="18"/>
                <w:szCs w:val="18"/>
                <w:color w:val="auto"/>
              </w:rPr>
              <w:t>Restricted stock units with 5-year cliff</w:t>
            </w:r>
          </w:p>
        </w:tc>
      </w:tr>
      <w:tr>
        <w:trPr>
          <w:trHeight w:val="203"/>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rPr>
              <w:t>management leadership team during this</w:t>
            </w:r>
          </w:p>
        </w:tc>
        <w:tc>
          <w:tcPr>
            <w:tcW w:w="3740" w:type="dxa"/>
            <w:vAlign w:val="bottom"/>
            <w:tcBorders>
              <w:right w:val="single" w:sz="8" w:color="47829E"/>
            </w:tcBorders>
          </w:tcPr>
          <w:p>
            <w:pPr>
              <w:ind w:left="80"/>
              <w:spacing w:after="0" w:line="202" w:lineRule="exact"/>
              <w:rPr>
                <w:sz w:val="20"/>
                <w:szCs w:val="20"/>
                <w:color w:val="auto"/>
              </w:rPr>
            </w:pPr>
            <w:r>
              <w:rPr>
                <w:rFonts w:ascii="Arial" w:cs="Arial" w:eastAsia="Arial" w:hAnsi="Arial"/>
                <w:sz w:val="18"/>
                <w:szCs w:val="18"/>
                <w:color w:val="auto"/>
              </w:rPr>
              <w:t>vesting.</w:t>
            </w:r>
          </w:p>
        </w:tc>
      </w:tr>
      <w:tr>
        <w:trPr>
          <w:trHeight w:val="203"/>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rPr>
              <w:t>period of significant transformation and</w:t>
            </w:r>
          </w:p>
        </w:tc>
        <w:tc>
          <w:tcPr>
            <w:tcW w:w="3740" w:type="dxa"/>
            <w:vAlign w:val="bottom"/>
            <w:tcBorders>
              <w:right w:val="single" w:sz="8" w:color="47829E"/>
            </w:tcBorders>
          </w:tcPr>
          <w:p>
            <w:pPr>
              <w:spacing w:after="0"/>
              <w:rPr>
                <w:sz w:val="17"/>
                <w:szCs w:val="17"/>
                <w:color w:val="auto"/>
              </w:rPr>
            </w:pPr>
          </w:p>
        </w:tc>
      </w:tr>
      <w:tr>
        <w:trPr>
          <w:trHeight w:val="199"/>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0" w:lineRule="exact"/>
              <w:rPr>
                <w:sz w:val="20"/>
                <w:szCs w:val="20"/>
                <w:color w:val="auto"/>
              </w:rPr>
            </w:pPr>
            <w:r>
              <w:rPr>
                <w:rFonts w:ascii="Arial" w:cs="Arial" w:eastAsia="Arial" w:hAnsi="Arial"/>
                <w:sz w:val="18"/>
                <w:szCs w:val="18"/>
                <w:color w:val="auto"/>
              </w:rPr>
              <w:t>Company growth.</w:t>
            </w:r>
          </w:p>
        </w:tc>
        <w:tc>
          <w:tcPr>
            <w:tcW w:w="3740" w:type="dxa"/>
            <w:vAlign w:val="bottom"/>
            <w:tcBorders>
              <w:right w:val="single" w:sz="8" w:color="47829E"/>
            </w:tcBorders>
          </w:tcPr>
          <w:p>
            <w:pPr>
              <w:spacing w:after="0"/>
              <w:rPr>
                <w:sz w:val="17"/>
                <w:szCs w:val="17"/>
                <w:color w:val="auto"/>
              </w:rPr>
            </w:pPr>
          </w:p>
        </w:tc>
      </w:tr>
      <w:tr>
        <w:trPr>
          <w:trHeight w:val="184"/>
        </w:trPr>
        <w:tc>
          <w:tcPr>
            <w:tcW w:w="3980" w:type="dxa"/>
            <w:vAlign w:val="bottom"/>
            <w:tcBorders>
              <w:left w:val="single" w:sz="8" w:color="47829E"/>
              <w:right w:val="single" w:sz="8" w:color="47829E"/>
            </w:tcBorders>
            <w:shd w:val="clear" w:color="auto" w:fill="E3ECF0"/>
          </w:tcPr>
          <w:p>
            <w:pPr>
              <w:ind w:left="120"/>
              <w:spacing w:after="0" w:line="184" w:lineRule="exact"/>
              <w:rPr>
                <w:sz w:val="20"/>
                <w:szCs w:val="20"/>
                <w:color w:val="auto"/>
              </w:rPr>
            </w:pPr>
            <w:r>
              <w:rPr>
                <w:rFonts w:ascii="Arial" w:cs="Arial" w:eastAsia="Arial" w:hAnsi="Arial"/>
                <w:sz w:val="18"/>
                <w:szCs w:val="18"/>
                <w:b w:val="1"/>
                <w:bCs w:val="1"/>
                <w:color w:val="auto"/>
              </w:rPr>
              <w:t>Health/Welfare Plan and</w:t>
            </w:r>
          </w:p>
        </w:tc>
        <w:tc>
          <w:tcPr>
            <w:tcW w:w="3720" w:type="dxa"/>
            <w:vAlign w:val="bottom"/>
            <w:tcBorders>
              <w:right w:val="single" w:sz="8" w:color="47829E"/>
            </w:tcBorders>
            <w:shd w:val="clear" w:color="auto" w:fill="E3ECF0"/>
          </w:tcPr>
          <w:p>
            <w:pPr>
              <w:ind w:left="100"/>
              <w:spacing w:after="0" w:line="184" w:lineRule="exact"/>
              <w:rPr>
                <w:sz w:val="20"/>
                <w:szCs w:val="20"/>
                <w:color w:val="auto"/>
              </w:rPr>
            </w:pPr>
            <w:r>
              <w:rPr>
                <w:rFonts w:ascii="Arial" w:cs="Arial" w:eastAsia="Arial" w:hAnsi="Arial"/>
                <w:sz w:val="18"/>
                <w:szCs w:val="18"/>
                <w:color w:val="auto"/>
              </w:rPr>
              <w:t>To provide competitive benefits promoting</w:t>
            </w:r>
          </w:p>
        </w:tc>
        <w:tc>
          <w:tcPr>
            <w:tcW w:w="3740" w:type="dxa"/>
            <w:vAlign w:val="bottom"/>
            <w:tcBorders>
              <w:right w:val="single" w:sz="8" w:color="47829E"/>
            </w:tcBorders>
            <w:shd w:val="clear" w:color="auto" w:fill="E3ECF0"/>
          </w:tcPr>
          <w:p>
            <w:pPr>
              <w:ind w:left="80"/>
              <w:spacing w:after="0" w:line="184" w:lineRule="exact"/>
              <w:rPr>
                <w:sz w:val="20"/>
                <w:szCs w:val="20"/>
                <w:color w:val="auto"/>
              </w:rPr>
            </w:pPr>
            <w:r>
              <w:rPr>
                <w:rFonts w:ascii="Arial" w:cs="Arial" w:eastAsia="Arial" w:hAnsi="Arial"/>
                <w:sz w:val="18"/>
                <w:szCs w:val="18"/>
                <w:color w:val="auto"/>
              </w:rPr>
              <w:t>Fixed compensation component.</w:t>
            </w:r>
          </w:p>
        </w:tc>
      </w:tr>
      <w:tr>
        <w:trPr>
          <w:trHeight w:val="225"/>
        </w:trPr>
        <w:tc>
          <w:tcPr>
            <w:tcW w:w="3980" w:type="dxa"/>
            <w:vAlign w:val="bottom"/>
            <w:tcBorders>
              <w:left w:val="single" w:sz="8" w:color="47829E"/>
              <w:right w:val="single" w:sz="8" w:color="47829E"/>
            </w:tcBorders>
            <w:shd w:val="clear" w:color="auto" w:fill="E3ECF0"/>
          </w:tcPr>
          <w:p>
            <w:pPr>
              <w:ind w:left="120"/>
              <w:spacing w:after="0"/>
              <w:rPr>
                <w:sz w:val="20"/>
                <w:szCs w:val="20"/>
                <w:color w:val="auto"/>
              </w:rPr>
            </w:pPr>
            <w:r>
              <w:rPr>
                <w:rFonts w:ascii="Arial" w:cs="Arial" w:eastAsia="Arial" w:hAnsi="Arial"/>
                <w:sz w:val="18"/>
                <w:szCs w:val="18"/>
                <w:b w:val="1"/>
                <w:bCs w:val="1"/>
                <w:color w:val="auto"/>
              </w:rPr>
              <w:t>Retirement Benefits</w:t>
            </w:r>
          </w:p>
        </w:tc>
        <w:tc>
          <w:tcPr>
            <w:tcW w:w="3720" w:type="dxa"/>
            <w:vAlign w:val="bottom"/>
            <w:tcBorders>
              <w:right w:val="single" w:sz="8" w:color="47829E"/>
            </w:tcBorders>
            <w:shd w:val="clear" w:color="auto" w:fill="E3ECF0"/>
          </w:tcPr>
          <w:p>
            <w:pPr>
              <w:ind w:left="100"/>
              <w:spacing w:after="0"/>
              <w:rPr>
                <w:sz w:val="20"/>
                <w:szCs w:val="20"/>
                <w:color w:val="auto"/>
              </w:rPr>
            </w:pPr>
            <w:r>
              <w:rPr>
                <w:rFonts w:ascii="Arial" w:cs="Arial" w:eastAsia="Arial" w:hAnsi="Arial"/>
                <w:sz w:val="18"/>
                <w:szCs w:val="18"/>
                <w:color w:val="auto"/>
                <w:w w:val="98"/>
              </w:rPr>
              <w:t>employee health and productivity and support</w:t>
            </w:r>
          </w:p>
        </w:tc>
        <w:tc>
          <w:tcPr>
            <w:tcW w:w="3740" w:type="dxa"/>
            <w:vAlign w:val="bottom"/>
            <w:tcBorders>
              <w:right w:val="single" w:sz="8" w:color="47829E"/>
            </w:tcBorders>
            <w:shd w:val="clear" w:color="auto" w:fill="E3ECF0"/>
          </w:tcPr>
          <w:p>
            <w:pPr>
              <w:spacing w:after="0"/>
              <w:rPr>
                <w:sz w:val="19"/>
                <w:szCs w:val="19"/>
                <w:color w:val="auto"/>
              </w:rPr>
            </w:pPr>
          </w:p>
        </w:tc>
      </w:tr>
      <w:tr>
        <w:trPr>
          <w:trHeight w:val="199"/>
        </w:trPr>
        <w:tc>
          <w:tcPr>
            <w:tcW w:w="3980" w:type="dxa"/>
            <w:vAlign w:val="bottom"/>
            <w:tcBorders>
              <w:left w:val="single" w:sz="8" w:color="47829E"/>
              <w:right w:val="single" w:sz="8" w:color="47829E"/>
            </w:tcBorders>
            <w:shd w:val="clear" w:color="auto" w:fill="E3ECF0"/>
          </w:tcPr>
          <w:p>
            <w:pPr>
              <w:spacing w:after="0"/>
              <w:rPr>
                <w:sz w:val="17"/>
                <w:szCs w:val="17"/>
                <w:color w:val="auto"/>
              </w:rPr>
            </w:pPr>
          </w:p>
        </w:tc>
        <w:tc>
          <w:tcPr>
            <w:tcW w:w="3720" w:type="dxa"/>
            <w:vAlign w:val="bottom"/>
            <w:tcBorders>
              <w:right w:val="single" w:sz="8" w:color="47829E"/>
            </w:tcBorders>
            <w:shd w:val="clear" w:color="auto" w:fill="E3ECF0"/>
          </w:tcPr>
          <w:p>
            <w:pPr>
              <w:ind w:left="100"/>
              <w:spacing w:after="0" w:line="200" w:lineRule="exact"/>
              <w:rPr>
                <w:sz w:val="20"/>
                <w:szCs w:val="20"/>
                <w:color w:val="auto"/>
              </w:rPr>
            </w:pPr>
            <w:r>
              <w:rPr>
                <w:rFonts w:ascii="Arial" w:cs="Arial" w:eastAsia="Arial" w:hAnsi="Arial"/>
                <w:sz w:val="18"/>
                <w:szCs w:val="18"/>
                <w:color w:val="auto"/>
              </w:rPr>
              <w:t>financial security.</w:t>
            </w:r>
          </w:p>
        </w:tc>
        <w:tc>
          <w:tcPr>
            <w:tcW w:w="3740" w:type="dxa"/>
            <w:vAlign w:val="bottom"/>
            <w:tcBorders>
              <w:right w:val="single" w:sz="8" w:color="47829E"/>
            </w:tcBorders>
            <w:shd w:val="clear" w:color="auto" w:fill="E3ECF0"/>
          </w:tcPr>
          <w:p>
            <w:pPr>
              <w:spacing w:after="0"/>
              <w:rPr>
                <w:sz w:val="17"/>
                <w:szCs w:val="17"/>
                <w:color w:val="auto"/>
              </w:rPr>
            </w:pPr>
          </w:p>
        </w:tc>
      </w:tr>
      <w:tr>
        <w:trPr>
          <w:trHeight w:val="206"/>
        </w:trPr>
        <w:tc>
          <w:tcPr>
            <w:tcW w:w="3980" w:type="dxa"/>
            <w:vAlign w:val="bottom"/>
            <w:tcBorders>
              <w:left w:val="single" w:sz="8" w:color="47829E"/>
              <w:right w:val="single" w:sz="8" w:color="47829E"/>
            </w:tcBorders>
          </w:tcPr>
          <w:p>
            <w:pPr>
              <w:ind w:left="120"/>
              <w:spacing w:after="0" w:line="206" w:lineRule="exact"/>
              <w:rPr>
                <w:sz w:val="20"/>
                <w:szCs w:val="20"/>
                <w:color w:val="auto"/>
              </w:rPr>
            </w:pPr>
            <w:r>
              <w:rPr>
                <w:rFonts w:ascii="Arial" w:cs="Arial" w:eastAsia="Arial" w:hAnsi="Arial"/>
                <w:sz w:val="18"/>
                <w:szCs w:val="18"/>
                <w:b w:val="1"/>
                <w:bCs w:val="1"/>
                <w:color w:val="auto"/>
              </w:rPr>
              <w:t>Perquisites and Other Benefits</w:t>
            </w:r>
          </w:p>
        </w:tc>
        <w:tc>
          <w:tcPr>
            <w:tcW w:w="3720" w:type="dxa"/>
            <w:vAlign w:val="bottom"/>
            <w:tcBorders>
              <w:right w:val="single" w:sz="8" w:color="47829E"/>
            </w:tcBorders>
          </w:tcPr>
          <w:p>
            <w:pPr>
              <w:ind w:left="100"/>
              <w:spacing w:after="0" w:line="206" w:lineRule="exact"/>
              <w:rPr>
                <w:sz w:val="20"/>
                <w:szCs w:val="20"/>
                <w:color w:val="auto"/>
              </w:rPr>
            </w:pPr>
            <w:r>
              <w:rPr>
                <w:rFonts w:ascii="Arial" w:cs="Arial" w:eastAsia="Arial" w:hAnsi="Arial"/>
                <w:sz w:val="18"/>
                <w:szCs w:val="18"/>
                <w:color w:val="auto"/>
              </w:rPr>
              <w:t>To provide limited business-related benefits,</w:t>
            </w:r>
          </w:p>
        </w:tc>
        <w:tc>
          <w:tcPr>
            <w:tcW w:w="3740" w:type="dxa"/>
            <w:vAlign w:val="bottom"/>
            <w:tcBorders>
              <w:right w:val="single" w:sz="8" w:color="47829E"/>
            </w:tcBorders>
          </w:tcPr>
          <w:p>
            <w:pPr>
              <w:ind w:left="80"/>
              <w:spacing w:after="0" w:line="206" w:lineRule="exact"/>
              <w:rPr>
                <w:sz w:val="20"/>
                <w:szCs w:val="20"/>
                <w:color w:val="auto"/>
              </w:rPr>
            </w:pPr>
            <w:r>
              <w:rPr>
                <w:rFonts w:ascii="Arial" w:cs="Arial" w:eastAsia="Arial" w:hAnsi="Arial"/>
                <w:sz w:val="18"/>
                <w:szCs w:val="18"/>
                <w:color w:val="auto"/>
              </w:rPr>
              <w:t>Fixed compensation component.</w:t>
            </w:r>
          </w:p>
        </w:tc>
      </w:tr>
      <w:tr>
        <w:trPr>
          <w:trHeight w:val="203"/>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rPr>
              <w:t>where appropriate, and to assist in attracting</w:t>
            </w:r>
          </w:p>
        </w:tc>
        <w:tc>
          <w:tcPr>
            <w:tcW w:w="3740" w:type="dxa"/>
            <w:vAlign w:val="bottom"/>
            <w:tcBorders>
              <w:right w:val="single" w:sz="8" w:color="47829E"/>
            </w:tcBorders>
          </w:tcPr>
          <w:p>
            <w:pPr>
              <w:spacing w:after="0"/>
              <w:rPr>
                <w:sz w:val="17"/>
                <w:szCs w:val="17"/>
                <w:color w:val="auto"/>
              </w:rPr>
            </w:pPr>
          </w:p>
        </w:tc>
      </w:tr>
      <w:tr>
        <w:trPr>
          <w:trHeight w:val="199"/>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0" w:lineRule="exact"/>
              <w:rPr>
                <w:sz w:val="20"/>
                <w:szCs w:val="20"/>
                <w:color w:val="auto"/>
              </w:rPr>
            </w:pPr>
            <w:r>
              <w:rPr>
                <w:rFonts w:ascii="Arial" w:cs="Arial" w:eastAsia="Arial" w:hAnsi="Arial"/>
                <w:sz w:val="18"/>
                <w:szCs w:val="18"/>
                <w:color w:val="auto"/>
              </w:rPr>
              <w:t>and retaining executive officers.</w:t>
            </w:r>
          </w:p>
        </w:tc>
        <w:tc>
          <w:tcPr>
            <w:tcW w:w="3740" w:type="dxa"/>
            <w:vAlign w:val="bottom"/>
            <w:tcBorders>
              <w:right w:val="single" w:sz="8" w:color="47829E"/>
            </w:tcBorders>
          </w:tcPr>
          <w:p>
            <w:pPr>
              <w:spacing w:after="0"/>
              <w:rPr>
                <w:sz w:val="17"/>
                <w:szCs w:val="17"/>
                <w:color w:val="auto"/>
              </w:rPr>
            </w:pPr>
          </w:p>
        </w:tc>
      </w:tr>
      <w:tr>
        <w:trPr>
          <w:trHeight w:val="206"/>
        </w:trPr>
        <w:tc>
          <w:tcPr>
            <w:tcW w:w="3980" w:type="dxa"/>
            <w:vAlign w:val="bottom"/>
            <w:tcBorders>
              <w:left w:val="single" w:sz="8" w:color="47829E"/>
              <w:right w:val="single" w:sz="8" w:color="47829E"/>
            </w:tcBorders>
            <w:shd w:val="clear" w:color="auto" w:fill="E3ECF0"/>
          </w:tcPr>
          <w:p>
            <w:pPr>
              <w:ind w:left="120"/>
              <w:spacing w:after="0" w:line="206" w:lineRule="exact"/>
              <w:rPr>
                <w:sz w:val="20"/>
                <w:szCs w:val="20"/>
                <w:color w:val="auto"/>
              </w:rPr>
            </w:pPr>
            <w:r>
              <w:rPr>
                <w:rFonts w:ascii="Arial" w:cs="Arial" w:eastAsia="Arial" w:hAnsi="Arial"/>
                <w:sz w:val="18"/>
                <w:szCs w:val="18"/>
                <w:b w:val="1"/>
                <w:bCs w:val="1"/>
                <w:color w:val="auto"/>
              </w:rPr>
              <w:t>Change-in-Control Protection</w:t>
            </w:r>
          </w:p>
        </w:tc>
        <w:tc>
          <w:tcPr>
            <w:tcW w:w="3720" w:type="dxa"/>
            <w:vAlign w:val="bottom"/>
            <w:tcBorders>
              <w:right w:val="single" w:sz="8" w:color="47829E"/>
            </w:tcBorders>
            <w:shd w:val="clear" w:color="auto" w:fill="E3ECF0"/>
          </w:tcPr>
          <w:p>
            <w:pPr>
              <w:ind w:left="100"/>
              <w:spacing w:after="0" w:line="206" w:lineRule="exact"/>
              <w:rPr>
                <w:sz w:val="20"/>
                <w:szCs w:val="20"/>
                <w:color w:val="auto"/>
              </w:rPr>
            </w:pPr>
            <w:r>
              <w:rPr>
                <w:rFonts w:ascii="Arial" w:cs="Arial" w:eastAsia="Arial" w:hAnsi="Arial"/>
                <w:sz w:val="18"/>
                <w:szCs w:val="18"/>
                <w:color w:val="auto"/>
              </w:rPr>
              <w:t>To provide continuity of management and</w:t>
            </w:r>
          </w:p>
        </w:tc>
        <w:tc>
          <w:tcPr>
            <w:tcW w:w="3740" w:type="dxa"/>
            <w:vAlign w:val="bottom"/>
            <w:tcBorders>
              <w:right w:val="single" w:sz="8" w:color="47829E"/>
            </w:tcBorders>
            <w:shd w:val="clear" w:color="auto" w:fill="E3ECF0"/>
          </w:tcPr>
          <w:p>
            <w:pPr>
              <w:ind w:left="80"/>
              <w:spacing w:after="0" w:line="206" w:lineRule="exact"/>
              <w:rPr>
                <w:sz w:val="20"/>
                <w:szCs w:val="20"/>
                <w:color w:val="auto"/>
              </w:rPr>
            </w:pPr>
            <w:r>
              <w:rPr>
                <w:rFonts w:ascii="Arial" w:cs="Arial" w:eastAsia="Arial" w:hAnsi="Arial"/>
                <w:sz w:val="18"/>
                <w:szCs w:val="18"/>
                <w:color w:val="auto"/>
              </w:rPr>
              <w:t>Fixed compensation component; only paid in</w:t>
            </w:r>
          </w:p>
        </w:tc>
      </w:tr>
      <w:tr>
        <w:trPr>
          <w:trHeight w:val="203"/>
        </w:trPr>
        <w:tc>
          <w:tcPr>
            <w:tcW w:w="3980" w:type="dxa"/>
            <w:vAlign w:val="bottom"/>
            <w:tcBorders>
              <w:left w:val="single" w:sz="8" w:color="47829E"/>
              <w:right w:val="single" w:sz="8" w:color="47829E"/>
            </w:tcBorders>
            <w:shd w:val="clear" w:color="auto" w:fill="E3ECF0"/>
          </w:tcPr>
          <w:p>
            <w:pPr>
              <w:spacing w:after="0"/>
              <w:rPr>
                <w:sz w:val="17"/>
                <w:szCs w:val="17"/>
                <w:color w:val="auto"/>
              </w:rPr>
            </w:pPr>
          </w:p>
        </w:tc>
        <w:tc>
          <w:tcPr>
            <w:tcW w:w="3720" w:type="dxa"/>
            <w:vAlign w:val="bottom"/>
            <w:tcBorders>
              <w:right w:val="single" w:sz="8" w:color="47829E"/>
            </w:tcBorders>
            <w:shd w:val="clear" w:color="auto" w:fill="E3ECF0"/>
          </w:tcPr>
          <w:p>
            <w:pPr>
              <w:ind w:left="100"/>
              <w:spacing w:after="0" w:line="202" w:lineRule="exact"/>
              <w:rPr>
                <w:sz w:val="20"/>
                <w:szCs w:val="20"/>
                <w:color w:val="auto"/>
              </w:rPr>
            </w:pPr>
            <w:r>
              <w:rPr>
                <w:rFonts w:ascii="Arial" w:cs="Arial" w:eastAsia="Arial" w:hAnsi="Arial"/>
                <w:sz w:val="18"/>
                <w:szCs w:val="18"/>
                <w:color w:val="auto"/>
              </w:rPr>
              <w:t>bridge future employment if terminated</w:t>
            </w:r>
          </w:p>
        </w:tc>
        <w:tc>
          <w:tcPr>
            <w:tcW w:w="3740" w:type="dxa"/>
            <w:vAlign w:val="bottom"/>
            <w:tcBorders>
              <w:right w:val="single" w:sz="8" w:color="47829E"/>
            </w:tcBorders>
            <w:shd w:val="clear" w:color="auto" w:fill="E3ECF0"/>
          </w:tcPr>
          <w:p>
            <w:pPr>
              <w:ind w:left="80"/>
              <w:spacing w:after="0" w:line="202" w:lineRule="exact"/>
              <w:rPr>
                <w:sz w:val="20"/>
                <w:szCs w:val="20"/>
                <w:color w:val="auto"/>
              </w:rPr>
            </w:pPr>
            <w:r>
              <w:rPr>
                <w:rFonts w:ascii="Arial" w:cs="Arial" w:eastAsia="Arial" w:hAnsi="Arial"/>
                <w:sz w:val="18"/>
                <w:szCs w:val="18"/>
                <w:color w:val="auto"/>
              </w:rPr>
              <w:t>the event the executive’s employment is</w:t>
            </w:r>
          </w:p>
        </w:tc>
      </w:tr>
      <w:tr>
        <w:trPr>
          <w:trHeight w:val="203"/>
        </w:trPr>
        <w:tc>
          <w:tcPr>
            <w:tcW w:w="3980" w:type="dxa"/>
            <w:vAlign w:val="bottom"/>
            <w:tcBorders>
              <w:left w:val="single" w:sz="8" w:color="47829E"/>
              <w:right w:val="single" w:sz="8" w:color="47829E"/>
            </w:tcBorders>
            <w:shd w:val="clear" w:color="auto" w:fill="E3ECF0"/>
          </w:tcPr>
          <w:p>
            <w:pPr>
              <w:spacing w:after="0"/>
              <w:rPr>
                <w:sz w:val="17"/>
                <w:szCs w:val="17"/>
                <w:color w:val="auto"/>
              </w:rPr>
            </w:pPr>
          </w:p>
        </w:tc>
        <w:tc>
          <w:tcPr>
            <w:tcW w:w="3720" w:type="dxa"/>
            <w:vAlign w:val="bottom"/>
            <w:tcBorders>
              <w:right w:val="single" w:sz="8" w:color="47829E"/>
            </w:tcBorders>
            <w:shd w:val="clear" w:color="auto" w:fill="E3ECF0"/>
          </w:tcPr>
          <w:p>
            <w:pPr>
              <w:ind w:left="100"/>
              <w:spacing w:after="0" w:line="202" w:lineRule="exact"/>
              <w:rPr>
                <w:sz w:val="20"/>
                <w:szCs w:val="20"/>
                <w:color w:val="auto"/>
              </w:rPr>
            </w:pPr>
            <w:r>
              <w:rPr>
                <w:rFonts w:ascii="Arial" w:cs="Arial" w:eastAsia="Arial" w:hAnsi="Arial"/>
                <w:sz w:val="18"/>
                <w:szCs w:val="18"/>
                <w:color w:val="auto"/>
                <w:w w:val="97"/>
              </w:rPr>
              <w:t>following a change-in-control of the Company.</w:t>
            </w:r>
          </w:p>
        </w:tc>
        <w:tc>
          <w:tcPr>
            <w:tcW w:w="3740" w:type="dxa"/>
            <w:vAlign w:val="bottom"/>
            <w:tcBorders>
              <w:right w:val="single" w:sz="8" w:color="47829E"/>
            </w:tcBorders>
            <w:shd w:val="clear" w:color="auto" w:fill="E3ECF0"/>
          </w:tcPr>
          <w:p>
            <w:pPr>
              <w:ind w:left="80"/>
              <w:spacing w:after="0" w:line="202" w:lineRule="exact"/>
              <w:rPr>
                <w:sz w:val="20"/>
                <w:szCs w:val="20"/>
                <w:color w:val="auto"/>
              </w:rPr>
            </w:pPr>
            <w:r>
              <w:rPr>
                <w:rFonts w:ascii="Arial" w:cs="Arial" w:eastAsia="Arial" w:hAnsi="Arial"/>
                <w:sz w:val="18"/>
                <w:szCs w:val="18"/>
                <w:color w:val="auto"/>
              </w:rPr>
              <w:t>terminated following a change-in-control of</w:t>
            </w:r>
          </w:p>
        </w:tc>
      </w:tr>
      <w:tr>
        <w:trPr>
          <w:trHeight w:val="199"/>
        </w:trPr>
        <w:tc>
          <w:tcPr>
            <w:tcW w:w="3980" w:type="dxa"/>
            <w:vAlign w:val="bottom"/>
            <w:tcBorders>
              <w:left w:val="single" w:sz="8" w:color="47829E"/>
              <w:right w:val="single" w:sz="8" w:color="47829E"/>
            </w:tcBorders>
            <w:shd w:val="clear" w:color="auto" w:fill="E3ECF0"/>
          </w:tcPr>
          <w:p>
            <w:pPr>
              <w:spacing w:after="0"/>
              <w:rPr>
                <w:sz w:val="17"/>
                <w:szCs w:val="17"/>
                <w:color w:val="auto"/>
              </w:rPr>
            </w:pPr>
          </w:p>
        </w:tc>
        <w:tc>
          <w:tcPr>
            <w:tcW w:w="3720" w:type="dxa"/>
            <w:vAlign w:val="bottom"/>
            <w:tcBorders>
              <w:right w:val="single" w:sz="8" w:color="47829E"/>
            </w:tcBorders>
            <w:shd w:val="clear" w:color="auto" w:fill="E3ECF0"/>
          </w:tcPr>
          <w:p>
            <w:pPr>
              <w:spacing w:after="0"/>
              <w:rPr>
                <w:sz w:val="17"/>
                <w:szCs w:val="17"/>
                <w:color w:val="auto"/>
              </w:rPr>
            </w:pPr>
          </w:p>
        </w:tc>
        <w:tc>
          <w:tcPr>
            <w:tcW w:w="3740" w:type="dxa"/>
            <w:vAlign w:val="bottom"/>
            <w:tcBorders>
              <w:right w:val="single" w:sz="8" w:color="47829E"/>
            </w:tcBorders>
            <w:shd w:val="clear" w:color="auto" w:fill="E3ECF0"/>
          </w:tcPr>
          <w:p>
            <w:pPr>
              <w:ind w:left="80"/>
              <w:spacing w:after="0" w:line="200" w:lineRule="exact"/>
              <w:rPr>
                <w:sz w:val="20"/>
                <w:szCs w:val="20"/>
                <w:color w:val="auto"/>
              </w:rPr>
            </w:pPr>
            <w:r>
              <w:rPr>
                <w:rFonts w:ascii="Arial" w:cs="Arial" w:eastAsia="Arial" w:hAnsi="Arial"/>
                <w:sz w:val="18"/>
                <w:szCs w:val="18"/>
                <w:color w:val="auto"/>
              </w:rPr>
              <w:t>the Company.</w:t>
            </w:r>
          </w:p>
        </w:tc>
      </w:tr>
      <w:tr>
        <w:trPr>
          <w:trHeight w:val="206"/>
        </w:trPr>
        <w:tc>
          <w:tcPr>
            <w:tcW w:w="3980" w:type="dxa"/>
            <w:vAlign w:val="bottom"/>
            <w:tcBorders>
              <w:left w:val="single" w:sz="8" w:color="47829E"/>
              <w:right w:val="single" w:sz="8" w:color="47829E"/>
            </w:tcBorders>
          </w:tcPr>
          <w:p>
            <w:pPr>
              <w:ind w:left="120"/>
              <w:spacing w:after="0" w:line="206" w:lineRule="exact"/>
              <w:rPr>
                <w:sz w:val="20"/>
                <w:szCs w:val="20"/>
                <w:color w:val="auto"/>
              </w:rPr>
            </w:pPr>
            <w:r>
              <w:rPr>
                <w:rFonts w:ascii="Arial" w:cs="Arial" w:eastAsia="Arial" w:hAnsi="Arial"/>
                <w:sz w:val="18"/>
                <w:szCs w:val="18"/>
                <w:b w:val="1"/>
                <w:bCs w:val="1"/>
                <w:color w:val="auto"/>
              </w:rPr>
              <w:t>Severance Protection</w:t>
            </w:r>
          </w:p>
        </w:tc>
        <w:tc>
          <w:tcPr>
            <w:tcW w:w="3720" w:type="dxa"/>
            <w:vAlign w:val="bottom"/>
            <w:tcBorders>
              <w:right w:val="single" w:sz="8" w:color="47829E"/>
            </w:tcBorders>
          </w:tcPr>
          <w:p>
            <w:pPr>
              <w:ind w:left="100"/>
              <w:spacing w:after="0" w:line="206" w:lineRule="exact"/>
              <w:rPr>
                <w:sz w:val="20"/>
                <w:szCs w:val="20"/>
                <w:color w:val="auto"/>
              </w:rPr>
            </w:pPr>
            <w:r>
              <w:rPr>
                <w:rFonts w:ascii="Arial" w:cs="Arial" w:eastAsia="Arial" w:hAnsi="Arial"/>
                <w:sz w:val="18"/>
                <w:szCs w:val="18"/>
                <w:color w:val="auto"/>
              </w:rPr>
              <w:t>To bridge future employment if terminated</w:t>
            </w:r>
          </w:p>
        </w:tc>
        <w:tc>
          <w:tcPr>
            <w:tcW w:w="3740" w:type="dxa"/>
            <w:vAlign w:val="bottom"/>
            <w:tcBorders>
              <w:right w:val="single" w:sz="8" w:color="47829E"/>
            </w:tcBorders>
          </w:tcPr>
          <w:p>
            <w:pPr>
              <w:ind w:left="80"/>
              <w:spacing w:after="0" w:line="206" w:lineRule="exact"/>
              <w:rPr>
                <w:sz w:val="20"/>
                <w:szCs w:val="20"/>
                <w:color w:val="auto"/>
              </w:rPr>
            </w:pPr>
            <w:r>
              <w:rPr>
                <w:rFonts w:ascii="Arial" w:cs="Arial" w:eastAsia="Arial" w:hAnsi="Arial"/>
                <w:sz w:val="18"/>
                <w:szCs w:val="18"/>
                <w:color w:val="auto"/>
              </w:rPr>
              <w:t>Fixed compensation component; only paid in</w:t>
            </w:r>
          </w:p>
        </w:tc>
      </w:tr>
      <w:tr>
        <w:trPr>
          <w:trHeight w:val="203"/>
        </w:trPr>
        <w:tc>
          <w:tcPr>
            <w:tcW w:w="3980" w:type="dxa"/>
            <w:vAlign w:val="bottom"/>
            <w:tcBorders>
              <w:left w:val="single" w:sz="8" w:color="47829E"/>
              <w:right w:val="single" w:sz="8" w:color="47829E"/>
            </w:tcBorders>
          </w:tcPr>
          <w:p>
            <w:pPr>
              <w:spacing w:after="0"/>
              <w:rPr>
                <w:sz w:val="17"/>
                <w:szCs w:val="17"/>
                <w:color w:val="auto"/>
              </w:rPr>
            </w:pPr>
          </w:p>
        </w:tc>
        <w:tc>
          <w:tcPr>
            <w:tcW w:w="3720" w:type="dxa"/>
            <w:vAlign w:val="bottom"/>
            <w:tcBorders>
              <w:right w:val="single" w:sz="8" w:color="47829E"/>
            </w:tcBorders>
          </w:tcPr>
          <w:p>
            <w:pPr>
              <w:ind w:left="100"/>
              <w:spacing w:after="0" w:line="202" w:lineRule="exact"/>
              <w:rPr>
                <w:sz w:val="20"/>
                <w:szCs w:val="20"/>
                <w:color w:val="auto"/>
              </w:rPr>
            </w:pPr>
            <w:r>
              <w:rPr>
                <w:rFonts w:ascii="Arial" w:cs="Arial" w:eastAsia="Arial" w:hAnsi="Arial"/>
                <w:sz w:val="18"/>
                <w:szCs w:val="18"/>
                <w:color w:val="auto"/>
              </w:rPr>
              <w:t>other than “for cause.”</w:t>
            </w:r>
          </w:p>
        </w:tc>
        <w:tc>
          <w:tcPr>
            <w:tcW w:w="3740" w:type="dxa"/>
            <w:vAlign w:val="bottom"/>
            <w:tcBorders>
              <w:right w:val="single" w:sz="8" w:color="47829E"/>
            </w:tcBorders>
          </w:tcPr>
          <w:p>
            <w:pPr>
              <w:ind w:left="80"/>
              <w:spacing w:after="0" w:line="202" w:lineRule="exact"/>
              <w:rPr>
                <w:sz w:val="20"/>
                <w:szCs w:val="20"/>
                <w:color w:val="auto"/>
              </w:rPr>
            </w:pPr>
            <w:r>
              <w:rPr>
                <w:rFonts w:ascii="Arial" w:cs="Arial" w:eastAsia="Arial" w:hAnsi="Arial"/>
                <w:sz w:val="18"/>
                <w:szCs w:val="18"/>
                <w:color w:val="auto"/>
              </w:rPr>
              <w:t>the event the executive’s employment is</w:t>
            </w:r>
          </w:p>
        </w:tc>
      </w:tr>
      <w:tr>
        <w:trPr>
          <w:trHeight w:val="199"/>
        </w:trPr>
        <w:tc>
          <w:tcPr>
            <w:tcW w:w="3980" w:type="dxa"/>
            <w:vAlign w:val="bottom"/>
            <w:tcBorders>
              <w:left w:val="single" w:sz="8" w:color="47829E"/>
              <w:bottom w:val="single" w:sz="8" w:color="47829E"/>
              <w:right w:val="single" w:sz="8" w:color="47829E"/>
            </w:tcBorders>
          </w:tcPr>
          <w:p>
            <w:pPr>
              <w:spacing w:after="0"/>
              <w:rPr>
                <w:sz w:val="17"/>
                <w:szCs w:val="17"/>
                <w:color w:val="auto"/>
              </w:rPr>
            </w:pPr>
          </w:p>
        </w:tc>
        <w:tc>
          <w:tcPr>
            <w:tcW w:w="3720" w:type="dxa"/>
            <w:vAlign w:val="bottom"/>
            <w:tcBorders>
              <w:bottom w:val="single" w:sz="8" w:color="47829E"/>
              <w:right w:val="single" w:sz="8" w:color="47829E"/>
            </w:tcBorders>
          </w:tcPr>
          <w:p>
            <w:pPr>
              <w:spacing w:after="0"/>
              <w:rPr>
                <w:sz w:val="17"/>
                <w:szCs w:val="17"/>
                <w:color w:val="auto"/>
              </w:rPr>
            </w:pPr>
          </w:p>
        </w:tc>
        <w:tc>
          <w:tcPr>
            <w:tcW w:w="3740" w:type="dxa"/>
            <w:vAlign w:val="bottom"/>
            <w:tcBorders>
              <w:bottom w:val="single" w:sz="8" w:color="47829E"/>
              <w:right w:val="single" w:sz="8" w:color="47829E"/>
            </w:tcBorders>
          </w:tcPr>
          <w:p>
            <w:pPr>
              <w:ind w:left="80"/>
              <w:spacing w:after="0" w:line="200" w:lineRule="exact"/>
              <w:rPr>
                <w:sz w:val="20"/>
                <w:szCs w:val="20"/>
                <w:color w:val="auto"/>
              </w:rPr>
            </w:pPr>
            <w:r>
              <w:rPr>
                <w:rFonts w:ascii="Arial" w:cs="Arial" w:eastAsia="Arial" w:hAnsi="Arial"/>
                <w:sz w:val="18"/>
                <w:szCs w:val="18"/>
                <w:color w:val="auto"/>
              </w:rPr>
              <w:t>terminated other than “for cause.”</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Performance-Related Compensation</w:t>
      </w:r>
    </w:p>
    <w:p>
      <w:pPr>
        <w:spacing w:after="0" w:line="178"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A substantial portion of our CEO’s and executive officers’ compensation is at risk and will vary depending upon the Company’s performance. All the opportunities to achieve long-term equity incentives granted to our CEO and other executive officers in 2014 were performance-related, other than the one-time transformation equity grants with 5-year cliff vesting that are discussed below. These consisted of three types of awards, which are discussed more fully: (1) options; (2) restricted stock units pursuant to our long-term incentive program (LTIP Awards); and (3) restricted stock units that consist of performance share units (PSU Awards). More than 82% of our CEO’s total pay opportunity is performance-based “at risk”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00" w:right="20" w:hanging="325"/>
        <w:spacing w:after="0" w:line="23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these awards has a target amount based on enumerated performance measures, and meeting the performance criteria is required to achieve a threshold award and the opportunity to earn a multiple of the target.</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Company does not meet performance expectations, the CEO and other executive officers can receive zero awards.</w:t>
      </w:r>
    </w:p>
    <w:p>
      <w:pPr>
        <w:spacing w:after="0" w:line="76" w:lineRule="exact"/>
        <w:rPr>
          <w:rFonts w:ascii="Arial" w:cs="Arial" w:eastAsia="Arial" w:hAnsi="Arial"/>
          <w:sz w:val="18"/>
          <w:szCs w:val="18"/>
          <w:color w:val="auto"/>
        </w:rPr>
      </w:pPr>
    </w:p>
    <w:p>
      <w:pPr>
        <w:jc w:val="both"/>
        <w:ind w:left="900" w:right="20" w:hanging="325"/>
        <w:spacing w:after="0" w:line="23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entire long-term incentive program (100%) is subject to performance adjustment, whereby the grant date value of the options and LTIP Awards may be reduced based on prior year performance and the amount of the PSU Awards that vest may be reduced based on the prior three-year performance. According</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40"/>
          </w:cols>
          <w:pgMar w:left="240" w:top="288" w:right="219" w:bottom="1440" w:gutter="0" w:footer="0" w:header="0"/>
        </w:sectPr>
      </w:pPr>
    </w:p>
    <w:bookmarkStart w:id="33" w:name="page34"/>
    <w:bookmarkEnd w:id="33"/>
    <w:p>
      <w:pPr>
        <w:ind w:left="9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data from Aon Hewitt, we believe this contrasts with our peer group and broader United States market practice, where such adjustments to target awards are not typically observed or, when observed, impact a minority portion of the overall long term award.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Ongoing Corporate Governance Policies</w:t>
      </w:r>
    </w:p>
    <w:p>
      <w:pPr>
        <w:spacing w:after="0" w:line="17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endeavor to maintain good corporate governance standards, including those which impact the oversight of our executive compensation policies and practices. The following policies and practices were in effect during 2014:</w:t>
      </w:r>
    </w:p>
    <w:p>
      <w:pPr>
        <w:spacing w:after="0" w:line="195"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maintain a majority vote for the election of directors in uncontested elections and plurality voting in any election that is contested.</w:t>
      </w:r>
    </w:p>
    <w:p>
      <w:pPr>
        <w:spacing w:after="0" w:line="99" w:lineRule="exact"/>
        <w:rPr>
          <w:rFonts w:ascii="Arial" w:cs="Arial" w:eastAsia="Arial" w:hAnsi="Arial"/>
          <w:sz w:val="16"/>
          <w:szCs w:val="16"/>
          <w:color w:val="auto"/>
        </w:rPr>
      </w:pPr>
    </w:p>
    <w:p>
      <w:pPr>
        <w:ind w:left="900" w:right="20" w:hanging="325"/>
        <w:spacing w:after="0" w:line="23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leadership structure of our Board consists of a Chairman (who is also our CEO), a Lead Independent Director, who is elected by the independent Directors, and strong Board committee chairs.</w:t>
      </w:r>
    </w:p>
    <w:p>
      <w:pPr>
        <w:spacing w:after="0" w:line="73" w:lineRule="exact"/>
        <w:rPr>
          <w:rFonts w:ascii="Arial" w:cs="Arial" w:eastAsia="Arial" w:hAnsi="Arial"/>
          <w:sz w:val="18"/>
          <w:szCs w:val="18"/>
          <w:color w:val="auto"/>
        </w:rPr>
      </w:pPr>
    </w:p>
    <w:p>
      <w:pPr>
        <w:ind w:left="900" w:right="20" w:hanging="325"/>
        <w:spacing w:after="0" w:line="23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Committee is composed solely of independent Directors who regularly schedule and meet in executive sessions without management present.</w:t>
      </w:r>
    </w:p>
    <w:p>
      <w:pPr>
        <w:spacing w:after="0" w:line="73"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Committee’s independent compensation consultant, Aon Hewitt, is retained directly by the Committee and performs no other consulting or other services for the Company.</w:t>
      </w:r>
    </w:p>
    <w:p>
      <w:pPr>
        <w:spacing w:after="0" w:line="73" w:lineRule="exact"/>
        <w:rPr>
          <w:rFonts w:ascii="Arial" w:cs="Arial" w:eastAsia="Arial" w:hAnsi="Arial"/>
          <w:sz w:val="18"/>
          <w:szCs w:val="18"/>
          <w:color w:val="auto"/>
        </w:rPr>
      </w:pPr>
    </w:p>
    <w:p>
      <w:pPr>
        <w:ind w:left="900" w:hanging="325"/>
        <w:spacing w:after="0" w:line="299"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Committee conducts an annual review and approval of our compensation strategy, including a review of our compensation-related risk profile, to ensure that our compensation-related risks are not reasonably likely to have a material adverse effect on the Company.</w:t>
      </w:r>
    </w:p>
    <w:p>
      <w:pPr>
        <w:spacing w:after="0" w:line="27" w:lineRule="exact"/>
        <w:rPr>
          <w:rFonts w:ascii="Arial" w:cs="Arial" w:eastAsia="Arial" w:hAnsi="Arial"/>
          <w:sz w:val="16"/>
          <w:szCs w:val="16"/>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Set maximum payout caps on our annual and long-term incentives.</w:t>
      </w:r>
    </w:p>
    <w:p>
      <w:pPr>
        <w:spacing w:after="0" w:line="76"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for performance with 82% of our CEO’s total pay opportunity being performance-based “at risk” compensation (other than the one-time transformation equity grants with 5-year cliff vesting that are discussed below).</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 PSU payments at target if three-year TSR is negative, regardless of our ranking.</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perquisites and other benefits.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 an annual compensation risk assessment.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Compensation Decision Process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Management and the Committee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The Committee is responsible for carrying out the philosophy and objectives of the Board of Directors related to executive compensation in addition to its responsibilities of overseeing the development and succession of executive management of Martin Marietta. The Committee has the authority to determine compensation and benefits for Martin Marietta’s executive officers. The Committee members are each non-employee, independent Board members pursuant to the New York Stock Exchange rules, and the Committee operates pursuant to a written charter, a copy of which can be viewed on Martin Marietta’s website at </w:t>
      </w:r>
      <w:r>
        <w:rPr>
          <w:rFonts w:ascii="Arial" w:cs="Arial" w:eastAsia="Arial" w:hAnsi="Arial"/>
          <w:sz w:val="18"/>
          <w:szCs w:val="18"/>
          <w:i w:val="1"/>
          <w:iCs w:val="1"/>
          <w:u w:val="single" w:color="auto"/>
          <w:color w:val="auto"/>
        </w:rPr>
        <w:t>www.martinmarietta.com</w:t>
      </w:r>
      <w:r>
        <w:rPr>
          <w:rFonts w:ascii="Arial" w:cs="Arial" w:eastAsia="Arial" w:hAnsi="Arial"/>
          <w:sz w:val="18"/>
          <w:szCs w:val="18"/>
          <w:i w:val="1"/>
          <w:iCs w:val="1"/>
          <w:color w:val="auto"/>
        </w:rPr>
        <w:t>.</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performance of the CEO and each other executive officer is reviewed regularly by the Committee. Based on this review, the Committee sets compensation for all executive officers. Compensation decisions with respect to the executive officers other than the CEO are based in part on recommendations by the CEO, with input from the Senior Vice President—Human Resources, with respect to salary adjustments and annual cash and equity awards. The Committee can accept, reject or modify any recommended adjustments or awards to executive officers. For the CEO, the Committee sets the levels of annual adjustments and awards based on the criteria it deems to be appropriate under the circumstances. There are no employment agreements between Martin Marietta and any executive officer of Martin Marietta, including the CEO.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9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Role of the Independent Compensation Consultant</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Committee retained an independent compensation consultant, Aon Hewitt, in accordance with the Committee’s charter. The consultant reports directly to the Committee. The Committee retains sole authority to hire or terminate Aon Hewitt, approve its compensation, determine the nature and scope of services, and evaluate performance. A representative of Aon Hewitt attends Committee meetings, either in person or by telephone, as requested, and communicates with the Committee Chair between meetings. The Committee makes all final decisions. Aon Hewitt performs no other services for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Aon Hewitt’s specific compensation consultation roles include, but are not limited to, the following:</w:t>
      </w:r>
    </w:p>
    <w:p>
      <w:pPr>
        <w:spacing w:after="0" w:line="198"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Advise the Committee on executive compensation trends and regulatory developments.</w:t>
      </w:r>
    </w:p>
    <w:p>
      <w:pPr>
        <w:spacing w:after="0" w:line="76"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 total compensation study for executives compared to the companies in our peer group and recommendations for executive pay.</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advice to the Committee on governance best practices, as well as any other areas of concern or risk.</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Serve as a resource to the Committee Chair for meeting agendas and supporting materials in advance of each meeting.</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and comment on proxy disclosure items, including this CD&amp;A.</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Advise the Committee on management’s pay recommendations.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Committee has considered and assessed all relevant factors, including but not limited to those set forth in Rule 10C-1(b)(4)(i) through</w:t>
      </w:r>
    </w:p>
    <w:p>
      <w:pPr>
        <w:ind w:firstLine="8"/>
        <w:spacing w:after="0" w:line="239" w:lineRule="auto"/>
        <w:tabs>
          <w:tab w:leader="none" w:pos="3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the Exchange Act, that could give rise to a potential conflict of interest with respect to Aon Hewitt. Based on this review, there are no conflicts of interest raised by the work performed by Aon Hewitt.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Peer Companies and Competitive Market Data</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The Committee considered peer groups for three elements of the executive compensation program in 2014: (1) the </w:t>
      </w:r>
      <w:r>
        <w:rPr>
          <w:rFonts w:ascii="Arial" w:cs="Arial" w:eastAsia="Arial" w:hAnsi="Arial"/>
          <w:sz w:val="18"/>
          <w:szCs w:val="18"/>
          <w:i w:val="1"/>
          <w:iCs w:val="1"/>
          <w:color w:val="auto"/>
        </w:rPr>
        <w:t>Compensation Peer Group</w:t>
      </w:r>
      <w:r>
        <w:rPr>
          <w:rFonts w:ascii="Arial" w:cs="Arial" w:eastAsia="Arial" w:hAnsi="Arial"/>
          <w:sz w:val="18"/>
          <w:szCs w:val="18"/>
          <w:color w:val="auto"/>
        </w:rPr>
        <w:t xml:space="preserve">, consisting of 16 companies that compete with us for talent; (2) the </w:t>
      </w:r>
      <w:r>
        <w:rPr>
          <w:rFonts w:ascii="Arial" w:cs="Arial" w:eastAsia="Arial" w:hAnsi="Arial"/>
          <w:sz w:val="18"/>
          <w:szCs w:val="18"/>
          <w:i w:val="1"/>
          <w:iCs w:val="1"/>
          <w:color w:val="auto"/>
        </w:rPr>
        <w:t>Performance Peer Group</w:t>
      </w:r>
      <w:r>
        <w:rPr>
          <w:rFonts w:ascii="Arial" w:cs="Arial" w:eastAsia="Arial" w:hAnsi="Arial"/>
          <w:sz w:val="18"/>
          <w:szCs w:val="18"/>
          <w:color w:val="auto"/>
        </w:rPr>
        <w:t xml:space="preserve">, consisting of seven companies that compete with us in producing and selling construction materials and is used to assess the comparative financial performance of the Company; and (3) the </w:t>
      </w:r>
      <w:r>
        <w:rPr>
          <w:rFonts w:ascii="Arial" w:cs="Arial" w:eastAsia="Arial" w:hAnsi="Arial"/>
          <w:sz w:val="18"/>
          <w:szCs w:val="18"/>
          <w:i w:val="1"/>
          <w:iCs w:val="1"/>
          <w:color w:val="auto"/>
        </w:rPr>
        <w:t>TSR</w:t>
      </w:r>
      <w:r>
        <w:rPr>
          <w:rFonts w:ascii="Arial" w:cs="Arial" w:eastAsia="Arial" w:hAnsi="Arial"/>
          <w:sz w:val="18"/>
          <w:szCs w:val="18"/>
          <w:color w:val="auto"/>
        </w:rPr>
        <w:t xml:space="preserve"> </w:t>
      </w:r>
      <w:r>
        <w:rPr>
          <w:rFonts w:ascii="Arial" w:cs="Arial" w:eastAsia="Arial" w:hAnsi="Arial"/>
          <w:sz w:val="18"/>
          <w:szCs w:val="18"/>
          <w:i w:val="1"/>
          <w:iCs w:val="1"/>
          <w:color w:val="auto"/>
        </w:rPr>
        <w:t>Peer Group</w:t>
      </w:r>
      <w:r>
        <w:rPr>
          <w:rFonts w:ascii="Arial" w:cs="Arial" w:eastAsia="Arial" w:hAnsi="Arial"/>
          <w:sz w:val="18"/>
          <w:szCs w:val="18"/>
          <w:color w:val="auto"/>
        </w:rPr>
        <w:t>, consisting of 23 companies that the Committee believes compete with us for investors and is used to assess the achievement of total</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return measured for the PSU Awards.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section only describes the Compensation Peer Group. The other two peer groups are discussed below in the descriptions of the other elements of our compensation program.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Annually, the Committee studies competitive total compensation market data reviewed by Aon Hewitt. To assess competitive pay levels, the</w:t>
      </w:r>
    </w:p>
    <w:p>
      <w:pPr>
        <w:spacing w:after="0"/>
        <w:rPr>
          <w:sz w:val="20"/>
          <w:szCs w:val="20"/>
          <w:color w:val="auto"/>
        </w:rPr>
      </w:pPr>
      <w:r>
        <w:rPr>
          <w:rFonts w:ascii="Arial" w:cs="Arial" w:eastAsia="Arial" w:hAnsi="Arial"/>
          <w:sz w:val="18"/>
          <w:szCs w:val="18"/>
          <w:color w:val="auto"/>
        </w:rPr>
        <w:t>Committee reviews and approves the composition of our Compensation Peer Group. The following peer group criteria are considered:</w:t>
      </w:r>
    </w:p>
    <w:p>
      <w:pPr>
        <w:spacing w:after="0" w:line="198"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Company size (approximately 0.4x to 2.5x Martin Marietta’s annual revenues);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Companies in similar industries based on GICS code classifications;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 competitors for business and management talent;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Companies covered by the investment analysts that track Martin Marietta;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Companies that include Martin Marietta in their compensation peer group.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companies comprised our Compensation Peer Group for 2014 base salary, bonus, and long-term incentive pay decisions:</w:t>
      </w:r>
    </w:p>
    <w:p>
      <w:pPr>
        <w:sectPr>
          <w:pgSz w:w="11900" w:h="16838" w:orient="portrait"/>
          <w:cols w:equalWidth="0" w:num="1">
            <w:col w:w="11420"/>
          </w:cols>
          <w:pgMar w:left="240" w:top="269" w:right="239" w:bottom="1440" w:gutter="0" w:footer="0" w:header="0"/>
        </w:sectPr>
      </w:pP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Albermarle Corporation</w:t>
      </w:r>
    </w:p>
    <w:p>
      <w:pPr>
        <w:ind w:left="880"/>
        <w:spacing w:after="0" w:line="234" w:lineRule="auto"/>
        <w:rPr>
          <w:sz w:val="20"/>
          <w:szCs w:val="20"/>
          <w:color w:val="auto"/>
        </w:rPr>
      </w:pPr>
      <w:r>
        <w:rPr>
          <w:rFonts w:ascii="Arial" w:cs="Arial" w:eastAsia="Arial" w:hAnsi="Arial"/>
          <w:sz w:val="18"/>
          <w:szCs w:val="18"/>
          <w:color w:val="auto"/>
        </w:rPr>
        <w:t>Arch Coal, Inc.</w:t>
      </w:r>
    </w:p>
    <w:p>
      <w:pPr>
        <w:ind w:left="880"/>
        <w:spacing w:after="0" w:line="235" w:lineRule="auto"/>
        <w:rPr>
          <w:sz w:val="20"/>
          <w:szCs w:val="20"/>
          <w:color w:val="auto"/>
        </w:rPr>
      </w:pPr>
      <w:r>
        <w:rPr>
          <w:rFonts w:ascii="Arial" w:cs="Arial" w:eastAsia="Arial" w:hAnsi="Arial"/>
          <w:sz w:val="18"/>
          <w:szCs w:val="18"/>
          <w:color w:val="auto"/>
        </w:rPr>
        <w:t>Compass Minerals International</w:t>
      </w:r>
    </w:p>
    <w:p>
      <w:pPr>
        <w:ind w:left="880"/>
        <w:spacing w:after="0" w:line="235" w:lineRule="auto"/>
        <w:rPr>
          <w:sz w:val="20"/>
          <w:szCs w:val="20"/>
          <w:color w:val="auto"/>
        </w:rPr>
      </w:pPr>
      <w:r>
        <w:rPr>
          <w:rFonts w:ascii="Arial" w:cs="Arial" w:eastAsia="Arial" w:hAnsi="Arial"/>
          <w:sz w:val="18"/>
          <w:szCs w:val="18"/>
          <w:color w:val="auto"/>
        </w:rPr>
        <w:t>Granite Construction Inc.</w:t>
      </w:r>
    </w:p>
    <w:p>
      <w:pPr>
        <w:ind w:left="880"/>
        <w:spacing w:after="0" w:line="235" w:lineRule="auto"/>
        <w:rPr>
          <w:sz w:val="20"/>
          <w:szCs w:val="20"/>
          <w:color w:val="auto"/>
        </w:rPr>
      </w:pPr>
      <w:r>
        <w:rPr>
          <w:rFonts w:ascii="Arial" w:cs="Arial" w:eastAsia="Arial" w:hAnsi="Arial"/>
          <w:sz w:val="18"/>
          <w:szCs w:val="18"/>
          <w:color w:val="auto"/>
        </w:rPr>
        <w:t>Kansas City Southern</w:t>
      </w:r>
    </w:p>
    <w:p>
      <w:pPr>
        <w:ind w:left="880"/>
        <w:spacing w:after="0"/>
        <w:rPr>
          <w:sz w:val="20"/>
          <w:szCs w:val="20"/>
          <w:color w:val="auto"/>
        </w:rPr>
      </w:pPr>
      <w:r>
        <w:rPr>
          <w:rFonts w:ascii="Arial" w:cs="Arial" w:eastAsia="Arial" w:hAnsi="Arial"/>
          <w:sz w:val="16"/>
          <w:szCs w:val="16"/>
          <w:color w:val="auto"/>
        </w:rPr>
        <w:t>Packaging Corporation of America</w:t>
      </w:r>
    </w:p>
    <w:p>
      <w:pPr>
        <w:spacing w:after="0" w:line="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Universal Forest Products Inc.</w:t>
      </w:r>
    </w:p>
    <w:p>
      <w:pPr>
        <w:ind w:left="880"/>
        <w:spacing w:after="0"/>
        <w:rPr>
          <w:sz w:val="20"/>
          <w:szCs w:val="20"/>
          <w:color w:val="auto"/>
        </w:rPr>
      </w:pPr>
      <w:r>
        <w:rPr>
          <w:rFonts w:ascii="Arial" w:cs="Arial" w:eastAsia="Arial" w:hAnsi="Arial"/>
          <w:sz w:val="18"/>
          <w:szCs w:val="18"/>
          <w:color w:val="auto"/>
        </w:rPr>
        <w:t>The Valspar Corporation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Amcol International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Armstrong World Industries</w:t>
      </w:r>
    </w:p>
    <w:p>
      <w:pPr>
        <w:spacing w:after="0" w:line="234" w:lineRule="auto"/>
        <w:rPr>
          <w:sz w:val="20"/>
          <w:szCs w:val="20"/>
          <w:color w:val="auto"/>
        </w:rPr>
      </w:pPr>
      <w:r>
        <w:rPr>
          <w:rFonts w:ascii="Arial" w:cs="Arial" w:eastAsia="Arial" w:hAnsi="Arial"/>
          <w:sz w:val="18"/>
          <w:szCs w:val="18"/>
          <w:color w:val="auto"/>
        </w:rPr>
        <w:t>FMC Corporation</w:t>
      </w:r>
    </w:p>
    <w:p>
      <w:pPr>
        <w:spacing w:after="0" w:line="235" w:lineRule="auto"/>
        <w:rPr>
          <w:sz w:val="20"/>
          <w:szCs w:val="20"/>
          <w:color w:val="auto"/>
        </w:rPr>
      </w:pPr>
      <w:r>
        <w:rPr>
          <w:rFonts w:ascii="Arial" w:cs="Arial" w:eastAsia="Arial" w:hAnsi="Arial"/>
          <w:sz w:val="18"/>
          <w:szCs w:val="18"/>
          <w:color w:val="auto"/>
        </w:rPr>
        <w:t>Kaiser Aluminum Corp.</w:t>
      </w:r>
    </w:p>
    <w:p>
      <w:pPr>
        <w:spacing w:after="0" w:line="235" w:lineRule="auto"/>
        <w:rPr>
          <w:sz w:val="20"/>
          <w:szCs w:val="20"/>
          <w:color w:val="auto"/>
        </w:rPr>
      </w:pPr>
      <w:r>
        <w:rPr>
          <w:rFonts w:ascii="Arial" w:cs="Arial" w:eastAsia="Arial" w:hAnsi="Arial"/>
          <w:sz w:val="18"/>
          <w:szCs w:val="18"/>
          <w:color w:val="auto"/>
        </w:rPr>
        <w:t>Louisiana- Pacific Corporation</w:t>
      </w:r>
    </w:p>
    <w:p>
      <w:pPr>
        <w:spacing w:after="0" w:line="235" w:lineRule="auto"/>
        <w:rPr>
          <w:sz w:val="20"/>
          <w:szCs w:val="20"/>
          <w:color w:val="auto"/>
        </w:rPr>
      </w:pPr>
      <w:r>
        <w:rPr>
          <w:rFonts w:ascii="Arial" w:cs="Arial" w:eastAsia="Arial" w:hAnsi="Arial"/>
          <w:sz w:val="18"/>
          <w:szCs w:val="18"/>
          <w:color w:val="auto"/>
        </w:rPr>
        <w:t>Suncoke Energy Inc</w:t>
      </w:r>
    </w:p>
    <w:p>
      <w:pPr>
        <w:spacing w:after="0" w:line="235" w:lineRule="auto"/>
        <w:rPr>
          <w:sz w:val="20"/>
          <w:szCs w:val="20"/>
          <w:color w:val="auto"/>
        </w:rPr>
      </w:pPr>
      <w:r>
        <w:rPr>
          <w:rFonts w:ascii="Arial" w:cs="Arial" w:eastAsia="Arial" w:hAnsi="Arial"/>
          <w:sz w:val="18"/>
          <w:szCs w:val="18"/>
          <w:color w:val="auto"/>
        </w:rPr>
        <w:t>USG Corp.</w:t>
      </w:r>
    </w:p>
    <w:p>
      <w:pPr>
        <w:spacing w:after="0"/>
        <w:rPr>
          <w:sz w:val="20"/>
          <w:szCs w:val="20"/>
          <w:color w:val="auto"/>
        </w:rPr>
      </w:pPr>
      <w:r>
        <w:rPr>
          <w:rFonts w:ascii="Arial" w:cs="Arial" w:eastAsia="Arial" w:hAnsi="Arial"/>
          <w:sz w:val="18"/>
          <w:szCs w:val="18"/>
          <w:color w:val="auto"/>
        </w:rPr>
        <w:t>Vulcan Materials Company</w:t>
      </w:r>
    </w:p>
    <w:p>
      <w:pPr>
        <w:spacing w:after="0" w:line="144" w:lineRule="exact"/>
        <w:rPr>
          <w:sz w:val="20"/>
          <w:szCs w:val="20"/>
          <w:color w:val="auto"/>
        </w:rPr>
      </w:pPr>
    </w:p>
    <w:p>
      <w:pPr>
        <w:sectPr>
          <w:pgSz w:w="11900" w:h="16838" w:orient="portrait"/>
          <w:cols w:equalWidth="0" w:num="2">
            <w:col w:w="6200" w:space="720"/>
            <w:col w:w="4500"/>
          </w:cols>
          <w:pgMar w:left="240" w:top="26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269" w:right="239" w:bottom="1440" w:gutter="0" w:footer="0" w:header="0"/>
          <w:type w:val="continuous"/>
        </w:sectPr>
      </w:pPr>
    </w:p>
    <w:bookmarkStart w:id="35" w:name="page36"/>
    <w:bookmarkEnd w:id="35"/>
    <w:p>
      <w:pPr>
        <w:jc w:val="both"/>
        <w:spacing w:after="0" w:line="23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studies competitive total compensation data from various sources, including proxy statements of the peer group. Since proxy statements do not provide precise comparisons by position to our executive officers, the Committee also in 2014 took into consideration published independent compensation surveys of companies with revenue in the range of $1.5 billion to $2.0 billion as to median levels for each executive officer as well as private compensation survey data. Where available, size-adjusted market values were developed using regression analysis. This statistical technique accounts for revenue size differences within the peer group and develops an estimated market value for a similar-size company as Martin Marietta. The size-adjusted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for total compensation is a key reference point for the Committee. On average, our NEO total compensation opportunities are competitively positioned at or near the size-adjusted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p>
      <w:pPr>
        <w:spacing w:after="0" w:line="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Although the Committee uses the benchmark standards as its starting point in setting compensation levels, the compensation packages for executive officers may vary materially from the peer group benchmarks based on several factors. Market data, position, tenure, individual and organization performance, retention needs and internal pay equity have been the primary factors considered in decisions to increase or decrease compensation opportunities. Specifically, the Committee sets compensation levels below the benchmark levels for executive officers with relatively less relevant experience, less responsibility, less tenure with Martin Marietta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peer group median. Long-term compensation to executive officers is based on specific performance measurements as discussed below for each component of compensation.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CEO Compensation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At the January Committee meeting, without the CEO present, the Committee reviews and evaluates CEO performance, and determines achievement level for the prior year. The Committee also reviews competitive compensation data. At this meeting, the Committee discusses salary and annual incentive pay recommendations, as well as an evaluation of the CEO’s performance, for the CEO with the independent members of the Board. In 2014, the Committee reviewed and discussed the target PSU grant size for the CEO at its August meeting, which was also discussed with the full Board. At the May Committee meeting, the Committee approves LTIP stock options and RSUs, based on a thorough review of financial performance versus the Performance Peer Group consisting of seven global competitors and discussed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Risk Assessment</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perform a thorough annual review of our compensation program structure. We review the results with the Committee and have determined that our executive pay is reasonable and provides appropriate incentives to our executives to achieve our financial and strategic goals. Our compensation structure does not include features that are reasonably likely to have a material adverse effect on the Company.</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our executive pay is reasonable and provides appropriate incentives to our executives to achieve our financial and strategic goals without encouraging them to take excessive risks in their business decisions. Compensation program features that mitigate against risks include the following:</w:t>
      </w:r>
    </w:p>
    <w:p>
      <w:pPr>
        <w:spacing w:after="0" w:line="195" w:lineRule="exact"/>
        <w:rPr>
          <w:sz w:val="20"/>
          <w:szCs w:val="20"/>
          <w:color w:val="auto"/>
        </w:rPr>
      </w:pPr>
    </w:p>
    <w:p>
      <w:pPr>
        <w:ind w:left="900" w:hanging="325"/>
        <w:spacing w:after="0" w:line="23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annual bonus plan does not provide payment for poor individual or corporate performance, regardless of whether the failure to achieve target was outside management’s control.</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is a cap on the annual bonus, even for spectacular performance.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are caps on the long-term equity awards, even if the required performance-related criteria are exceeded.</w:t>
      </w:r>
    </w:p>
    <w:p>
      <w:pPr>
        <w:spacing w:after="0" w:line="76" w:lineRule="exact"/>
        <w:rPr>
          <w:rFonts w:ascii="Arial" w:cs="Arial" w:eastAsia="Arial" w:hAnsi="Arial"/>
          <w:sz w:val="18"/>
          <w:szCs w:val="18"/>
          <w:color w:val="auto"/>
        </w:rPr>
      </w:pPr>
    </w:p>
    <w:p>
      <w:pPr>
        <w:ind w:left="900" w:right="20" w:hanging="325"/>
        <w:spacing w:after="0" w:line="23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majority of the named executive officers’ compensation is long-term, with equity grants vesting over three to five years, depending on the plan.</w:t>
      </w:r>
    </w:p>
    <w:p>
      <w:pPr>
        <w:spacing w:after="0" w:line="73"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compensation is not based on highly-leveraged short-term incentives that encourage high risk investments at the expense of long-term value.</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Long-term compensation to executive officers is based on specific performance measures that balance long-term growth and returns.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91" w:right="239" w:bottom="1440" w:gutter="0" w:footer="0" w:header="0"/>
        </w:sectPr>
      </w:pPr>
    </w:p>
    <w:bookmarkStart w:id="36" w:name="page37"/>
    <w:bookmarkEnd w:id="36"/>
    <w:p>
      <w:pPr>
        <w:ind w:left="900" w:right="40" w:hanging="325"/>
        <w:spacing w:after="0" w:line="23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uses benchmarking data and the advice of its independent compensation consultant to keep compensation in line with typical market practices and appropriate to Martin Marietta’s needs.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use a balanced portfolio of long-term incentive programs.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Considerations Regarding 2014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chart summarizes the </w:t>
      </w:r>
      <w:r>
        <w:rPr>
          <w:rFonts w:ascii="Arial" w:cs="Arial" w:eastAsia="Arial" w:hAnsi="Arial"/>
          <w:sz w:val="18"/>
          <w:szCs w:val="18"/>
          <w:u w:val="single" w:color="auto"/>
          <w:color w:val="auto"/>
        </w:rPr>
        <w:t>target</w:t>
      </w:r>
      <w:r>
        <w:rPr>
          <w:rFonts w:ascii="Arial" w:cs="Arial" w:eastAsia="Arial" w:hAnsi="Arial"/>
          <w:sz w:val="18"/>
          <w:szCs w:val="18"/>
          <w:color w:val="auto"/>
        </w:rPr>
        <w:t xml:space="preserve"> compensation in our 2014 executive compensation program:</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560" w:type="dxa"/>
            <w:vAlign w:val="bottom"/>
            <w:tcBorders>
              <w:left w:val="single" w:sz="8" w:color="47829E"/>
              <w:right w:val="single" w:sz="8" w:color="47829E"/>
            </w:tcBorders>
            <w:shd w:val="clear" w:color="auto" w:fill="47829E"/>
          </w:tcPr>
          <w:p>
            <w:pPr>
              <w:ind w:left="120"/>
              <w:spacing w:after="0"/>
              <w:rPr>
                <w:sz w:val="20"/>
                <w:szCs w:val="20"/>
                <w:color w:val="auto"/>
              </w:rPr>
            </w:pPr>
            <w:r>
              <w:rPr>
                <w:rFonts w:ascii="Arial" w:cs="Arial" w:eastAsia="Arial" w:hAnsi="Arial"/>
                <w:sz w:val="18"/>
                <w:szCs w:val="18"/>
                <w:b w:val="1"/>
                <w:bCs w:val="1"/>
                <w:color w:val="FFFFFF"/>
              </w:rPr>
              <w:t>Pay Component</w:t>
            </w:r>
          </w:p>
        </w:tc>
        <w:tc>
          <w:tcPr>
            <w:tcW w:w="8880" w:type="dxa"/>
            <w:vAlign w:val="bottom"/>
            <w:tcBorders>
              <w:right w:val="single" w:sz="8" w:color="47829E"/>
            </w:tcBorders>
            <w:shd w:val="clear" w:color="auto" w:fill="47829E"/>
          </w:tcPr>
          <w:p>
            <w:pPr>
              <w:ind w:left="80"/>
              <w:spacing w:after="0"/>
              <w:rPr>
                <w:sz w:val="20"/>
                <w:szCs w:val="20"/>
                <w:color w:val="auto"/>
              </w:rPr>
            </w:pPr>
            <w:r>
              <w:rPr>
                <w:rFonts w:ascii="Arial" w:cs="Arial" w:eastAsia="Arial" w:hAnsi="Arial"/>
                <w:sz w:val="18"/>
                <w:szCs w:val="18"/>
                <w:b w:val="1"/>
                <w:bCs w:val="1"/>
                <w:color w:val="FFFFFF"/>
              </w:rPr>
              <w:t>Summary</w:t>
            </w:r>
          </w:p>
        </w:tc>
      </w:tr>
      <w:tr>
        <w:trPr>
          <w:trHeight w:val="206"/>
        </w:trPr>
        <w:tc>
          <w:tcPr>
            <w:tcW w:w="2560" w:type="dxa"/>
            <w:vAlign w:val="bottom"/>
            <w:tcBorders>
              <w:left w:val="single" w:sz="8" w:color="47829E"/>
              <w:right w:val="single" w:sz="8" w:color="47829E"/>
            </w:tcBorders>
          </w:tcPr>
          <w:p>
            <w:pPr>
              <w:ind w:left="120"/>
              <w:spacing w:after="0" w:line="206" w:lineRule="exact"/>
              <w:rPr>
                <w:sz w:val="20"/>
                <w:szCs w:val="20"/>
                <w:color w:val="auto"/>
              </w:rPr>
            </w:pPr>
            <w:r>
              <w:rPr>
                <w:rFonts w:ascii="Arial" w:cs="Arial" w:eastAsia="Arial" w:hAnsi="Arial"/>
                <w:sz w:val="18"/>
                <w:szCs w:val="18"/>
                <w:b w:val="1"/>
                <w:bCs w:val="1"/>
                <w:color w:val="auto"/>
              </w:rPr>
              <w:t>Base Salary</w:t>
            </w:r>
          </w:p>
        </w:tc>
        <w:tc>
          <w:tcPr>
            <w:tcW w:w="8880" w:type="dxa"/>
            <w:vAlign w:val="bottom"/>
            <w:tcBorders>
              <w:right w:val="single" w:sz="8" w:color="47829E"/>
            </w:tcBorders>
          </w:tcPr>
          <w:p>
            <w:pPr>
              <w:ind w:left="180"/>
              <w:spacing w:after="0" w:line="206" w:lineRule="exact"/>
              <w:rPr>
                <w:sz w:val="20"/>
                <w:szCs w:val="20"/>
                <w:color w:val="auto"/>
              </w:rPr>
            </w:pPr>
            <w:r>
              <w:rPr>
                <w:rFonts w:ascii="Arial" w:cs="Arial" w:eastAsia="Arial" w:hAnsi="Arial"/>
                <w:sz w:val="18"/>
                <w:szCs w:val="18"/>
                <w:color w:val="auto"/>
                <w:w w:val="99"/>
              </w:rPr>
              <w:t>•  At the January 2014 meeting, the Committee reviewed competitive market data and individual performance</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520"/>
              <w:spacing w:after="0" w:line="202" w:lineRule="exact"/>
              <w:rPr>
                <w:sz w:val="20"/>
                <w:szCs w:val="20"/>
                <w:color w:val="auto"/>
              </w:rPr>
            </w:pPr>
            <w:r>
              <w:rPr>
                <w:rFonts w:ascii="Arial" w:cs="Arial" w:eastAsia="Arial" w:hAnsi="Arial"/>
                <w:sz w:val="18"/>
                <w:szCs w:val="18"/>
                <w:color w:val="auto"/>
              </w:rPr>
              <w:t>evaluations.</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180"/>
              <w:spacing w:after="0" w:line="202" w:lineRule="exact"/>
              <w:rPr>
                <w:sz w:val="20"/>
                <w:szCs w:val="20"/>
                <w:color w:val="auto"/>
              </w:rPr>
            </w:pPr>
            <w:r>
              <w:rPr>
                <w:rFonts w:ascii="Arial" w:cs="Arial" w:eastAsia="Arial" w:hAnsi="Arial"/>
                <w:sz w:val="18"/>
                <w:szCs w:val="18"/>
                <w:color w:val="auto"/>
              </w:rPr>
              <w:t>•  The Committee approved base salary increases as follows:</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620"/>
              <w:spacing w:after="0" w:line="202" w:lineRule="exact"/>
              <w:rPr>
                <w:sz w:val="20"/>
                <w:szCs w:val="20"/>
                <w:color w:val="auto"/>
              </w:rPr>
            </w:pPr>
            <w:r>
              <w:rPr>
                <w:rFonts w:ascii="Arial" w:cs="Arial" w:eastAsia="Arial" w:hAnsi="Arial"/>
                <w:sz w:val="18"/>
                <w:szCs w:val="18"/>
                <w:color w:val="auto"/>
              </w:rPr>
              <w:t>•  Mr. Nye: 3.2% increase, based on his excellent achievements as CEO since 2010 in a challenging</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940"/>
              <w:spacing w:after="0" w:line="202" w:lineRule="exact"/>
              <w:rPr>
                <w:sz w:val="20"/>
                <w:szCs w:val="20"/>
                <w:color w:val="auto"/>
              </w:rPr>
            </w:pPr>
            <w:r>
              <w:rPr>
                <w:rFonts w:ascii="Arial" w:cs="Arial" w:eastAsia="Arial" w:hAnsi="Arial"/>
                <w:sz w:val="18"/>
                <w:szCs w:val="18"/>
                <w:color w:val="auto"/>
              </w:rPr>
              <w:t>economic environment, and specifically his performance in 2014.</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620"/>
              <w:spacing w:after="0" w:line="202" w:lineRule="exact"/>
              <w:rPr>
                <w:sz w:val="20"/>
                <w:szCs w:val="20"/>
                <w:color w:val="auto"/>
              </w:rPr>
            </w:pPr>
            <w:r>
              <w:rPr>
                <w:rFonts w:ascii="Arial" w:cs="Arial" w:eastAsia="Arial" w:hAnsi="Arial"/>
                <w:sz w:val="18"/>
                <w:szCs w:val="18"/>
                <w:color w:val="auto"/>
              </w:rPr>
              <w:t>•  Other NEOs: 3% increases, based on a review of competitive market data and individual</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940"/>
              <w:spacing w:after="0" w:line="202" w:lineRule="exact"/>
              <w:rPr>
                <w:sz w:val="20"/>
                <w:szCs w:val="20"/>
                <w:color w:val="auto"/>
              </w:rPr>
            </w:pPr>
            <w:r>
              <w:rPr>
                <w:rFonts w:ascii="Arial" w:cs="Arial" w:eastAsia="Arial" w:hAnsi="Arial"/>
                <w:sz w:val="18"/>
                <w:szCs w:val="18"/>
                <w:color w:val="auto"/>
              </w:rPr>
              <w:t>performance evaluations.</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180"/>
              <w:spacing w:after="0" w:line="202" w:lineRule="exact"/>
              <w:rPr>
                <w:sz w:val="20"/>
                <w:szCs w:val="20"/>
                <w:color w:val="auto"/>
              </w:rPr>
            </w:pPr>
            <w:r>
              <w:rPr>
                <w:rFonts w:ascii="Arial" w:cs="Arial" w:eastAsia="Arial" w:hAnsi="Arial"/>
                <w:sz w:val="18"/>
                <w:szCs w:val="18"/>
                <w:color w:val="auto"/>
              </w:rPr>
              <w:t>•  The Committee at its June 2014 meeting approved an increase of 5.0% to Mr. Nye’s base in connection</w:t>
            </w:r>
          </w:p>
        </w:tc>
      </w:tr>
      <w:tr>
        <w:trPr>
          <w:trHeight w:val="212"/>
        </w:trPr>
        <w:tc>
          <w:tcPr>
            <w:tcW w:w="2560" w:type="dxa"/>
            <w:vAlign w:val="bottom"/>
            <w:tcBorders>
              <w:left w:val="single" w:sz="8" w:color="47829E"/>
              <w:right w:val="single" w:sz="8" w:color="47829E"/>
            </w:tcBorders>
          </w:tcPr>
          <w:p>
            <w:pPr>
              <w:spacing w:after="0"/>
              <w:rPr>
                <w:sz w:val="18"/>
                <w:szCs w:val="18"/>
                <w:color w:val="auto"/>
              </w:rPr>
            </w:pPr>
          </w:p>
        </w:tc>
        <w:tc>
          <w:tcPr>
            <w:tcW w:w="8880" w:type="dxa"/>
            <w:vAlign w:val="bottom"/>
            <w:tcBorders>
              <w:right w:val="single" w:sz="8" w:color="47829E"/>
            </w:tcBorders>
          </w:tcPr>
          <w:p>
            <w:pPr>
              <w:ind w:left="520"/>
              <w:spacing w:after="0"/>
              <w:rPr>
                <w:sz w:val="20"/>
                <w:szCs w:val="20"/>
                <w:color w:val="auto"/>
              </w:rPr>
            </w:pPr>
            <w:r>
              <w:rPr>
                <w:rFonts w:ascii="Arial" w:cs="Arial" w:eastAsia="Arial" w:hAnsi="Arial"/>
                <w:sz w:val="18"/>
                <w:szCs w:val="18"/>
                <w:color w:val="auto"/>
              </w:rPr>
              <w:t>with his succession as Chairman of the Board.</w:t>
            </w:r>
          </w:p>
        </w:tc>
      </w:tr>
      <w:tr>
        <w:trPr>
          <w:trHeight w:val="185"/>
        </w:trPr>
        <w:tc>
          <w:tcPr>
            <w:tcW w:w="2560" w:type="dxa"/>
            <w:vAlign w:val="bottom"/>
            <w:tcBorders>
              <w:left w:val="single" w:sz="8" w:color="47829E"/>
              <w:right w:val="single" w:sz="8" w:color="47829E"/>
            </w:tcBorders>
            <w:shd w:val="clear" w:color="auto" w:fill="E3ECF0"/>
          </w:tcPr>
          <w:p>
            <w:pPr>
              <w:ind w:left="120"/>
              <w:spacing w:after="0" w:line="185" w:lineRule="exact"/>
              <w:rPr>
                <w:sz w:val="20"/>
                <w:szCs w:val="20"/>
                <w:color w:val="auto"/>
              </w:rPr>
            </w:pPr>
            <w:r>
              <w:rPr>
                <w:rFonts w:ascii="Arial" w:cs="Arial" w:eastAsia="Arial" w:hAnsi="Arial"/>
                <w:sz w:val="18"/>
                <w:szCs w:val="18"/>
                <w:b w:val="1"/>
                <w:bCs w:val="1"/>
                <w:color w:val="auto"/>
              </w:rPr>
              <w:t>Target Annual Cash</w:t>
            </w:r>
          </w:p>
        </w:tc>
        <w:tc>
          <w:tcPr>
            <w:tcW w:w="8880" w:type="dxa"/>
            <w:vAlign w:val="bottom"/>
            <w:tcBorders>
              <w:right w:val="single" w:sz="8" w:color="47829E"/>
            </w:tcBorders>
            <w:shd w:val="clear" w:color="auto" w:fill="E3ECF0"/>
          </w:tcPr>
          <w:p>
            <w:pPr>
              <w:ind w:left="180"/>
              <w:spacing w:after="0" w:line="185" w:lineRule="exact"/>
              <w:rPr>
                <w:sz w:val="20"/>
                <w:szCs w:val="20"/>
                <w:color w:val="auto"/>
              </w:rPr>
            </w:pPr>
            <w:r>
              <w:rPr>
                <w:rFonts w:ascii="Arial" w:cs="Arial" w:eastAsia="Arial" w:hAnsi="Arial"/>
                <w:sz w:val="18"/>
                <w:szCs w:val="18"/>
                <w:color w:val="auto"/>
              </w:rPr>
              <w:t>•  NEO target bonuses (as a % of salary) did not change in 2014.</w:t>
            </w:r>
          </w:p>
        </w:tc>
      </w:tr>
      <w:tr>
        <w:trPr>
          <w:trHeight w:val="225"/>
        </w:trPr>
        <w:tc>
          <w:tcPr>
            <w:tcW w:w="2560" w:type="dxa"/>
            <w:vAlign w:val="bottom"/>
            <w:tcBorders>
              <w:left w:val="single" w:sz="8" w:color="47829E"/>
              <w:right w:val="single" w:sz="8" w:color="47829E"/>
            </w:tcBorders>
            <w:shd w:val="clear" w:color="auto" w:fill="E3ECF0"/>
          </w:tcPr>
          <w:p>
            <w:pPr>
              <w:ind w:left="120"/>
              <w:spacing w:after="0"/>
              <w:rPr>
                <w:sz w:val="20"/>
                <w:szCs w:val="20"/>
                <w:color w:val="auto"/>
              </w:rPr>
            </w:pPr>
            <w:r>
              <w:rPr>
                <w:rFonts w:ascii="Arial" w:cs="Arial" w:eastAsia="Arial" w:hAnsi="Arial"/>
                <w:sz w:val="18"/>
                <w:szCs w:val="18"/>
                <w:b w:val="1"/>
                <w:bCs w:val="1"/>
                <w:color w:val="auto"/>
              </w:rPr>
              <w:t>Incentives</w:t>
            </w:r>
          </w:p>
        </w:tc>
        <w:tc>
          <w:tcPr>
            <w:tcW w:w="8880" w:type="dxa"/>
            <w:vAlign w:val="bottom"/>
            <w:tcBorders>
              <w:right w:val="single" w:sz="8" w:color="47829E"/>
            </w:tcBorders>
            <w:shd w:val="clear" w:color="auto" w:fill="E3ECF0"/>
          </w:tcPr>
          <w:p>
            <w:pPr>
              <w:ind w:left="180"/>
              <w:spacing w:after="0"/>
              <w:rPr>
                <w:sz w:val="20"/>
                <w:szCs w:val="20"/>
                <w:color w:val="auto"/>
              </w:rPr>
            </w:pPr>
            <w:r>
              <w:rPr>
                <w:rFonts w:ascii="Arial" w:cs="Arial" w:eastAsia="Arial" w:hAnsi="Arial"/>
                <w:sz w:val="18"/>
                <w:szCs w:val="18"/>
                <w:color w:val="auto"/>
              </w:rPr>
              <w:t>•  Our 2014 Executive Incentive Plan design did not change.</w:t>
            </w:r>
          </w:p>
        </w:tc>
      </w:tr>
      <w:tr>
        <w:trPr>
          <w:trHeight w:val="203"/>
        </w:trPr>
        <w:tc>
          <w:tcPr>
            <w:tcW w:w="2560" w:type="dxa"/>
            <w:vAlign w:val="bottom"/>
            <w:tcBorders>
              <w:left w:val="single" w:sz="8" w:color="47829E"/>
              <w:right w:val="single" w:sz="8" w:color="47829E"/>
            </w:tcBorders>
            <w:shd w:val="clear" w:color="auto" w:fill="E3ECF0"/>
          </w:tcPr>
          <w:p>
            <w:pPr>
              <w:spacing w:after="0"/>
              <w:rPr>
                <w:sz w:val="17"/>
                <w:szCs w:val="17"/>
                <w:color w:val="auto"/>
              </w:rPr>
            </w:pPr>
          </w:p>
        </w:tc>
        <w:tc>
          <w:tcPr>
            <w:tcW w:w="8880" w:type="dxa"/>
            <w:vAlign w:val="bottom"/>
            <w:tcBorders>
              <w:right w:val="single" w:sz="8" w:color="47829E"/>
            </w:tcBorders>
            <w:shd w:val="clear" w:color="auto" w:fill="E3ECF0"/>
          </w:tcPr>
          <w:p>
            <w:pPr>
              <w:ind w:left="180"/>
              <w:spacing w:after="0" w:line="202" w:lineRule="exact"/>
              <w:rPr>
                <w:sz w:val="20"/>
                <w:szCs w:val="20"/>
                <w:color w:val="auto"/>
              </w:rPr>
            </w:pPr>
            <w:r>
              <w:rPr>
                <w:rFonts w:ascii="Arial" w:cs="Arial" w:eastAsia="Arial" w:hAnsi="Arial"/>
                <w:sz w:val="18"/>
                <w:szCs w:val="18"/>
                <w:color w:val="auto"/>
              </w:rPr>
              <w:t>•  One-time strategic acquisition bonus: In August 2014, the Committee approved a one-time payment of</w:t>
            </w:r>
          </w:p>
        </w:tc>
      </w:tr>
      <w:tr>
        <w:trPr>
          <w:trHeight w:val="203"/>
        </w:trPr>
        <w:tc>
          <w:tcPr>
            <w:tcW w:w="2560" w:type="dxa"/>
            <w:vAlign w:val="bottom"/>
            <w:tcBorders>
              <w:left w:val="single" w:sz="8" w:color="47829E"/>
              <w:right w:val="single" w:sz="8" w:color="47829E"/>
            </w:tcBorders>
            <w:shd w:val="clear" w:color="auto" w:fill="E3ECF0"/>
          </w:tcPr>
          <w:p>
            <w:pPr>
              <w:spacing w:after="0"/>
              <w:rPr>
                <w:sz w:val="17"/>
                <w:szCs w:val="17"/>
                <w:color w:val="auto"/>
              </w:rPr>
            </w:pPr>
          </w:p>
        </w:tc>
        <w:tc>
          <w:tcPr>
            <w:tcW w:w="8880" w:type="dxa"/>
            <w:vAlign w:val="bottom"/>
            <w:tcBorders>
              <w:right w:val="single" w:sz="8" w:color="47829E"/>
            </w:tcBorders>
            <w:shd w:val="clear" w:color="auto" w:fill="E3ECF0"/>
          </w:tcPr>
          <w:p>
            <w:pPr>
              <w:ind w:left="520"/>
              <w:spacing w:after="0" w:line="202" w:lineRule="exact"/>
              <w:rPr>
                <w:sz w:val="20"/>
                <w:szCs w:val="20"/>
                <w:color w:val="auto"/>
              </w:rPr>
            </w:pPr>
            <w:r>
              <w:rPr>
                <w:rFonts w:ascii="Arial" w:cs="Arial" w:eastAsia="Arial" w:hAnsi="Arial"/>
                <w:sz w:val="18"/>
                <w:szCs w:val="18"/>
                <w:color w:val="auto"/>
              </w:rPr>
              <w:t>approximately 25% of base salary to our NEOs, excluding Mr. Nye whose performance related to the</w:t>
            </w:r>
          </w:p>
        </w:tc>
      </w:tr>
      <w:tr>
        <w:trPr>
          <w:trHeight w:val="203"/>
        </w:trPr>
        <w:tc>
          <w:tcPr>
            <w:tcW w:w="2560" w:type="dxa"/>
            <w:vAlign w:val="bottom"/>
            <w:tcBorders>
              <w:left w:val="single" w:sz="8" w:color="47829E"/>
              <w:right w:val="single" w:sz="8" w:color="47829E"/>
            </w:tcBorders>
            <w:shd w:val="clear" w:color="auto" w:fill="E3ECF0"/>
          </w:tcPr>
          <w:p>
            <w:pPr>
              <w:spacing w:after="0"/>
              <w:rPr>
                <w:sz w:val="17"/>
                <w:szCs w:val="17"/>
                <w:color w:val="auto"/>
              </w:rPr>
            </w:pPr>
          </w:p>
        </w:tc>
        <w:tc>
          <w:tcPr>
            <w:tcW w:w="8880" w:type="dxa"/>
            <w:vAlign w:val="bottom"/>
            <w:tcBorders>
              <w:right w:val="single" w:sz="8" w:color="47829E"/>
            </w:tcBorders>
            <w:shd w:val="clear" w:color="auto" w:fill="E3ECF0"/>
          </w:tcPr>
          <w:p>
            <w:pPr>
              <w:ind w:left="520"/>
              <w:spacing w:after="0" w:line="202" w:lineRule="exact"/>
              <w:rPr>
                <w:sz w:val="20"/>
                <w:szCs w:val="20"/>
                <w:color w:val="auto"/>
              </w:rPr>
            </w:pPr>
            <w:r>
              <w:rPr>
                <w:rFonts w:ascii="Arial" w:cs="Arial" w:eastAsia="Arial" w:hAnsi="Arial"/>
                <w:sz w:val="18"/>
                <w:szCs w:val="18"/>
                <w:color w:val="auto"/>
                <w:w w:val="99"/>
              </w:rPr>
              <w:t>successful TXI acquisition was considered by the Committee as part of his normal bonus determination at</w:t>
            </w:r>
          </w:p>
        </w:tc>
      </w:tr>
      <w:tr>
        <w:trPr>
          <w:trHeight w:val="203"/>
        </w:trPr>
        <w:tc>
          <w:tcPr>
            <w:tcW w:w="2560" w:type="dxa"/>
            <w:vAlign w:val="bottom"/>
            <w:tcBorders>
              <w:left w:val="single" w:sz="8" w:color="47829E"/>
              <w:right w:val="single" w:sz="8" w:color="47829E"/>
            </w:tcBorders>
            <w:shd w:val="clear" w:color="auto" w:fill="E3ECF0"/>
          </w:tcPr>
          <w:p>
            <w:pPr>
              <w:spacing w:after="0"/>
              <w:rPr>
                <w:sz w:val="17"/>
                <w:szCs w:val="17"/>
                <w:color w:val="auto"/>
              </w:rPr>
            </w:pPr>
          </w:p>
        </w:tc>
        <w:tc>
          <w:tcPr>
            <w:tcW w:w="8880" w:type="dxa"/>
            <w:vAlign w:val="bottom"/>
            <w:tcBorders>
              <w:right w:val="single" w:sz="8" w:color="47829E"/>
            </w:tcBorders>
            <w:shd w:val="clear" w:color="auto" w:fill="E3ECF0"/>
          </w:tcPr>
          <w:p>
            <w:pPr>
              <w:ind w:left="520"/>
              <w:spacing w:after="0" w:line="202" w:lineRule="exact"/>
              <w:rPr>
                <w:sz w:val="20"/>
                <w:szCs w:val="20"/>
                <w:color w:val="auto"/>
              </w:rPr>
            </w:pPr>
            <w:r>
              <w:rPr>
                <w:rFonts w:ascii="Arial" w:cs="Arial" w:eastAsia="Arial" w:hAnsi="Arial"/>
                <w:sz w:val="18"/>
                <w:szCs w:val="18"/>
                <w:color w:val="auto"/>
              </w:rPr>
              <w:t>the close of 2014.</w:t>
            </w:r>
          </w:p>
        </w:tc>
      </w:tr>
      <w:tr>
        <w:trPr>
          <w:trHeight w:val="203"/>
        </w:trPr>
        <w:tc>
          <w:tcPr>
            <w:tcW w:w="2560" w:type="dxa"/>
            <w:vAlign w:val="bottom"/>
            <w:tcBorders>
              <w:left w:val="single" w:sz="8" w:color="47829E"/>
              <w:right w:val="single" w:sz="8" w:color="47829E"/>
            </w:tcBorders>
            <w:shd w:val="clear" w:color="auto" w:fill="E3ECF0"/>
          </w:tcPr>
          <w:p>
            <w:pPr>
              <w:spacing w:after="0"/>
              <w:rPr>
                <w:sz w:val="17"/>
                <w:szCs w:val="17"/>
                <w:color w:val="auto"/>
              </w:rPr>
            </w:pPr>
          </w:p>
        </w:tc>
        <w:tc>
          <w:tcPr>
            <w:tcW w:w="8880" w:type="dxa"/>
            <w:vAlign w:val="bottom"/>
            <w:tcBorders>
              <w:right w:val="single" w:sz="8" w:color="47829E"/>
            </w:tcBorders>
            <w:shd w:val="clear" w:color="auto" w:fill="E3ECF0"/>
          </w:tcPr>
          <w:p>
            <w:pPr>
              <w:ind w:left="180"/>
              <w:spacing w:after="0" w:line="202" w:lineRule="exact"/>
              <w:rPr>
                <w:sz w:val="20"/>
                <w:szCs w:val="20"/>
                <w:color w:val="auto"/>
              </w:rPr>
            </w:pPr>
            <w:r>
              <w:rPr>
                <w:rFonts w:ascii="Arial" w:cs="Arial" w:eastAsia="Arial" w:hAnsi="Arial"/>
                <w:sz w:val="18"/>
                <w:szCs w:val="18"/>
                <w:color w:val="auto"/>
              </w:rPr>
              <w:t>•  Our CEO is required to invest a minimum of 35% of his annual bonus into stock units, which are held for a</w:t>
            </w:r>
          </w:p>
        </w:tc>
      </w:tr>
      <w:tr>
        <w:trPr>
          <w:trHeight w:val="203"/>
        </w:trPr>
        <w:tc>
          <w:tcPr>
            <w:tcW w:w="2560" w:type="dxa"/>
            <w:vAlign w:val="bottom"/>
            <w:tcBorders>
              <w:left w:val="single" w:sz="8" w:color="47829E"/>
              <w:right w:val="single" w:sz="8" w:color="47829E"/>
            </w:tcBorders>
            <w:shd w:val="clear" w:color="auto" w:fill="E3ECF0"/>
          </w:tcPr>
          <w:p>
            <w:pPr>
              <w:spacing w:after="0"/>
              <w:rPr>
                <w:sz w:val="17"/>
                <w:szCs w:val="17"/>
                <w:color w:val="auto"/>
              </w:rPr>
            </w:pPr>
          </w:p>
        </w:tc>
        <w:tc>
          <w:tcPr>
            <w:tcW w:w="8880" w:type="dxa"/>
            <w:vAlign w:val="bottom"/>
            <w:tcBorders>
              <w:right w:val="single" w:sz="8" w:color="47829E"/>
            </w:tcBorders>
            <w:shd w:val="clear" w:color="auto" w:fill="E3ECF0"/>
          </w:tcPr>
          <w:p>
            <w:pPr>
              <w:ind w:left="520"/>
              <w:spacing w:after="0" w:line="202" w:lineRule="exact"/>
              <w:rPr>
                <w:sz w:val="20"/>
                <w:szCs w:val="20"/>
                <w:color w:val="auto"/>
              </w:rPr>
            </w:pPr>
            <w:r>
              <w:rPr>
                <w:rFonts w:ascii="Arial" w:cs="Arial" w:eastAsia="Arial" w:hAnsi="Arial"/>
                <w:sz w:val="18"/>
                <w:szCs w:val="18"/>
                <w:color w:val="auto"/>
              </w:rPr>
              <w:t>minimum period of three years.</w:t>
            </w:r>
          </w:p>
        </w:tc>
      </w:tr>
      <w:tr>
        <w:trPr>
          <w:trHeight w:val="203"/>
        </w:trPr>
        <w:tc>
          <w:tcPr>
            <w:tcW w:w="2560" w:type="dxa"/>
            <w:vAlign w:val="bottom"/>
            <w:tcBorders>
              <w:left w:val="single" w:sz="8" w:color="47829E"/>
              <w:right w:val="single" w:sz="8" w:color="47829E"/>
            </w:tcBorders>
            <w:shd w:val="clear" w:color="auto" w:fill="E3ECF0"/>
          </w:tcPr>
          <w:p>
            <w:pPr>
              <w:spacing w:after="0"/>
              <w:rPr>
                <w:sz w:val="17"/>
                <w:szCs w:val="17"/>
                <w:color w:val="auto"/>
              </w:rPr>
            </w:pPr>
          </w:p>
        </w:tc>
        <w:tc>
          <w:tcPr>
            <w:tcW w:w="8880" w:type="dxa"/>
            <w:vAlign w:val="bottom"/>
            <w:tcBorders>
              <w:right w:val="single" w:sz="8" w:color="47829E"/>
            </w:tcBorders>
            <w:shd w:val="clear" w:color="auto" w:fill="E3ECF0"/>
          </w:tcPr>
          <w:p>
            <w:pPr>
              <w:ind w:left="180"/>
              <w:spacing w:after="0" w:line="202" w:lineRule="exact"/>
              <w:rPr>
                <w:sz w:val="20"/>
                <w:szCs w:val="20"/>
                <w:color w:val="auto"/>
              </w:rPr>
            </w:pPr>
            <w:r>
              <w:rPr>
                <w:rFonts w:ascii="Arial" w:cs="Arial" w:eastAsia="Arial" w:hAnsi="Arial"/>
                <w:sz w:val="18"/>
                <w:szCs w:val="18"/>
                <w:color w:val="auto"/>
              </w:rPr>
              <w:t>•  Other NEOs are required to invest a minimum of 20% of their annual cash bonus into stock units, which</w:t>
            </w:r>
          </w:p>
        </w:tc>
      </w:tr>
      <w:tr>
        <w:trPr>
          <w:trHeight w:val="213"/>
        </w:trPr>
        <w:tc>
          <w:tcPr>
            <w:tcW w:w="2560" w:type="dxa"/>
            <w:vAlign w:val="bottom"/>
            <w:tcBorders>
              <w:left w:val="single" w:sz="8" w:color="47829E"/>
              <w:right w:val="single" w:sz="8" w:color="47829E"/>
            </w:tcBorders>
            <w:shd w:val="clear" w:color="auto" w:fill="E3ECF0"/>
          </w:tcPr>
          <w:p>
            <w:pPr>
              <w:spacing w:after="0"/>
              <w:rPr>
                <w:sz w:val="18"/>
                <w:szCs w:val="18"/>
                <w:color w:val="auto"/>
              </w:rPr>
            </w:pPr>
          </w:p>
        </w:tc>
        <w:tc>
          <w:tcPr>
            <w:tcW w:w="8880" w:type="dxa"/>
            <w:vAlign w:val="bottom"/>
            <w:tcBorders>
              <w:right w:val="single" w:sz="8" w:color="47829E"/>
            </w:tcBorders>
            <w:shd w:val="clear" w:color="auto" w:fill="E3ECF0"/>
          </w:tcPr>
          <w:p>
            <w:pPr>
              <w:ind w:left="520"/>
              <w:spacing w:after="0"/>
              <w:rPr>
                <w:sz w:val="20"/>
                <w:szCs w:val="20"/>
                <w:color w:val="auto"/>
              </w:rPr>
            </w:pPr>
            <w:r>
              <w:rPr>
                <w:rFonts w:ascii="Arial" w:cs="Arial" w:eastAsia="Arial" w:hAnsi="Arial"/>
                <w:sz w:val="18"/>
                <w:szCs w:val="18"/>
                <w:color w:val="auto"/>
              </w:rPr>
              <w:t>are held for a minimum period of three years.</w:t>
            </w:r>
          </w:p>
        </w:tc>
      </w:tr>
      <w:tr>
        <w:trPr>
          <w:trHeight w:val="206"/>
        </w:trPr>
        <w:tc>
          <w:tcPr>
            <w:tcW w:w="2560" w:type="dxa"/>
            <w:vAlign w:val="bottom"/>
            <w:tcBorders>
              <w:left w:val="single" w:sz="8" w:color="47829E"/>
              <w:right w:val="single" w:sz="8" w:color="47829E"/>
            </w:tcBorders>
          </w:tcPr>
          <w:p>
            <w:pPr>
              <w:ind w:left="120"/>
              <w:spacing w:after="0" w:line="206" w:lineRule="exact"/>
              <w:rPr>
                <w:sz w:val="20"/>
                <w:szCs w:val="20"/>
                <w:color w:val="auto"/>
              </w:rPr>
            </w:pPr>
            <w:r>
              <w:rPr>
                <w:rFonts w:ascii="Arial" w:cs="Arial" w:eastAsia="Arial" w:hAnsi="Arial"/>
                <w:sz w:val="18"/>
                <w:szCs w:val="18"/>
                <w:b w:val="1"/>
                <w:bCs w:val="1"/>
                <w:color w:val="auto"/>
              </w:rPr>
              <w:t>Long-Term Incentives</w:t>
            </w:r>
          </w:p>
        </w:tc>
        <w:tc>
          <w:tcPr>
            <w:tcW w:w="8880" w:type="dxa"/>
            <w:vAlign w:val="bottom"/>
            <w:tcBorders>
              <w:right w:val="single" w:sz="8" w:color="47829E"/>
            </w:tcBorders>
          </w:tcPr>
          <w:p>
            <w:pPr>
              <w:ind w:left="180"/>
              <w:spacing w:after="0" w:line="206" w:lineRule="exact"/>
              <w:rPr>
                <w:sz w:val="20"/>
                <w:szCs w:val="20"/>
                <w:color w:val="auto"/>
              </w:rPr>
            </w:pPr>
            <w:r>
              <w:rPr>
                <w:rFonts w:ascii="Arial" w:cs="Arial" w:eastAsia="Arial" w:hAnsi="Arial"/>
                <w:sz w:val="18"/>
                <w:szCs w:val="18"/>
                <w:color w:val="auto"/>
              </w:rPr>
              <w:t>•  NEO target award sizes (as a % of salary) did not change in 2014.</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180"/>
              <w:spacing w:after="0" w:line="202" w:lineRule="exact"/>
              <w:rPr>
                <w:sz w:val="20"/>
                <w:szCs w:val="20"/>
                <w:color w:val="auto"/>
              </w:rPr>
            </w:pPr>
            <w:r>
              <w:rPr>
                <w:rFonts w:ascii="Arial" w:cs="Arial" w:eastAsia="Arial" w:hAnsi="Arial"/>
                <w:sz w:val="18"/>
                <w:szCs w:val="18"/>
                <w:color w:val="auto"/>
              </w:rPr>
              <w:t>•  Our structure includes an LTIP (stock options and RSUs) and a new performance share unit (PSU) plan.</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180"/>
              <w:spacing w:after="0" w:line="202" w:lineRule="exact"/>
              <w:rPr>
                <w:sz w:val="20"/>
                <w:szCs w:val="20"/>
                <w:color w:val="auto"/>
              </w:rPr>
            </w:pPr>
            <w:r>
              <w:rPr>
                <w:rFonts w:ascii="Arial" w:cs="Arial" w:eastAsia="Arial" w:hAnsi="Arial"/>
                <w:sz w:val="18"/>
                <w:szCs w:val="18"/>
                <w:color w:val="auto"/>
              </w:rPr>
              <w:t>•  The LTIP is weighted 1/3 stock options and 2/3 RSUs. The LTIP grant size is based on Martin Marietta’s</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520"/>
              <w:spacing w:after="0" w:line="202" w:lineRule="exact"/>
              <w:rPr>
                <w:sz w:val="20"/>
                <w:szCs w:val="20"/>
                <w:color w:val="auto"/>
              </w:rPr>
            </w:pPr>
            <w:r>
              <w:rPr>
                <w:rFonts w:ascii="Arial" w:cs="Arial" w:eastAsia="Arial" w:hAnsi="Arial"/>
                <w:sz w:val="18"/>
                <w:szCs w:val="18"/>
                <w:color w:val="auto"/>
              </w:rPr>
              <w:t>2014 financial performance. Targeted values are determined for each NEO based on competitive market</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520"/>
              <w:spacing w:after="0" w:line="202" w:lineRule="exact"/>
              <w:rPr>
                <w:sz w:val="20"/>
                <w:szCs w:val="20"/>
                <w:color w:val="auto"/>
              </w:rPr>
            </w:pPr>
            <w:r>
              <w:rPr>
                <w:rFonts w:ascii="Arial" w:cs="Arial" w:eastAsia="Arial" w:hAnsi="Arial"/>
                <w:sz w:val="18"/>
                <w:szCs w:val="18"/>
                <w:color w:val="auto"/>
              </w:rPr>
              <w:t>data. The options are subject to four-year ratable vesting and the RSUs are subject to three-year cliff</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520"/>
              <w:spacing w:after="0" w:line="202" w:lineRule="exact"/>
              <w:rPr>
                <w:sz w:val="20"/>
                <w:szCs w:val="20"/>
                <w:color w:val="auto"/>
              </w:rPr>
            </w:pPr>
            <w:r>
              <w:rPr>
                <w:rFonts w:ascii="Arial" w:cs="Arial" w:eastAsia="Arial" w:hAnsi="Arial"/>
                <w:sz w:val="18"/>
                <w:szCs w:val="18"/>
                <w:color w:val="auto"/>
              </w:rPr>
              <w:t>vesting from date of grant.</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180"/>
              <w:spacing w:after="0" w:line="202" w:lineRule="exact"/>
              <w:rPr>
                <w:sz w:val="20"/>
                <w:szCs w:val="20"/>
                <w:color w:val="auto"/>
              </w:rPr>
            </w:pPr>
            <w:r>
              <w:rPr>
                <w:rFonts w:ascii="Arial" w:cs="Arial" w:eastAsia="Arial" w:hAnsi="Arial"/>
                <w:sz w:val="18"/>
                <w:szCs w:val="18"/>
                <w:color w:val="auto"/>
                <w:w w:val="99"/>
              </w:rPr>
              <w:t>•  PSUs earned amounts are based on 75% three-year return on sales and cumulative EBITDA performance,</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520"/>
              <w:spacing w:after="0" w:line="202" w:lineRule="exact"/>
              <w:rPr>
                <w:sz w:val="20"/>
                <w:szCs w:val="20"/>
                <w:color w:val="auto"/>
              </w:rPr>
            </w:pPr>
            <w:r>
              <w:rPr>
                <w:rFonts w:ascii="Arial" w:cs="Arial" w:eastAsia="Arial" w:hAnsi="Arial"/>
                <w:sz w:val="18"/>
                <w:szCs w:val="18"/>
                <w:color w:val="auto"/>
              </w:rPr>
              <w:t>and 25% total shareholder return ranking compared to major U.S. companies in similar industries. The</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520"/>
              <w:spacing w:after="0" w:line="202" w:lineRule="exact"/>
              <w:rPr>
                <w:sz w:val="20"/>
                <w:szCs w:val="20"/>
                <w:color w:val="auto"/>
              </w:rPr>
            </w:pPr>
            <w:r>
              <w:rPr>
                <w:rFonts w:ascii="Arial" w:cs="Arial" w:eastAsia="Arial" w:hAnsi="Arial"/>
                <w:sz w:val="18"/>
                <w:szCs w:val="18"/>
                <w:color w:val="auto"/>
              </w:rPr>
              <w:t>target award value is 40% of base salary for each NEO.</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180"/>
              <w:spacing w:after="0" w:line="202" w:lineRule="exact"/>
              <w:rPr>
                <w:sz w:val="20"/>
                <w:szCs w:val="20"/>
                <w:color w:val="auto"/>
              </w:rPr>
            </w:pPr>
            <w:r>
              <w:rPr>
                <w:rFonts w:ascii="Arial" w:cs="Arial" w:eastAsia="Arial" w:hAnsi="Arial"/>
                <w:sz w:val="18"/>
                <w:szCs w:val="18"/>
                <w:color w:val="auto"/>
              </w:rPr>
              <w:t>•  The Committee approved a one-time transformation equity grant in 2014 to support the Company’s multi-</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520"/>
              <w:spacing w:after="0" w:line="202" w:lineRule="exact"/>
              <w:rPr>
                <w:sz w:val="20"/>
                <w:szCs w:val="20"/>
                <w:color w:val="auto"/>
              </w:rPr>
            </w:pPr>
            <w:r>
              <w:rPr>
                <w:rFonts w:ascii="Arial" w:cs="Arial" w:eastAsia="Arial" w:hAnsi="Arial"/>
                <w:sz w:val="18"/>
                <w:szCs w:val="18"/>
                <w:color w:val="auto"/>
              </w:rPr>
              <w:t>year transformation strategy following the consummation of the TXI deal. The objective of the grant is to</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520"/>
              <w:spacing w:after="0" w:line="202" w:lineRule="exact"/>
              <w:rPr>
                <w:sz w:val="20"/>
                <w:szCs w:val="20"/>
                <w:color w:val="auto"/>
              </w:rPr>
            </w:pPr>
            <w:r>
              <w:rPr>
                <w:rFonts w:ascii="Arial" w:cs="Arial" w:eastAsia="Arial" w:hAnsi="Arial"/>
                <w:sz w:val="18"/>
                <w:szCs w:val="18"/>
                <w:color w:val="auto"/>
              </w:rPr>
              <w:t>lock-in critical leaders for the next five years while our transformation strategy is executed. The grant’s</w:t>
            </w:r>
          </w:p>
        </w:tc>
      </w:tr>
      <w:tr>
        <w:trPr>
          <w:trHeight w:val="203"/>
        </w:trPr>
        <w:tc>
          <w:tcPr>
            <w:tcW w:w="2560" w:type="dxa"/>
            <w:vAlign w:val="bottom"/>
            <w:tcBorders>
              <w:left w:val="single" w:sz="8" w:color="47829E"/>
              <w:right w:val="single" w:sz="8" w:color="47829E"/>
            </w:tcBorders>
          </w:tcPr>
          <w:p>
            <w:pPr>
              <w:spacing w:after="0"/>
              <w:rPr>
                <w:sz w:val="17"/>
                <w:szCs w:val="17"/>
                <w:color w:val="auto"/>
              </w:rPr>
            </w:pPr>
          </w:p>
        </w:tc>
        <w:tc>
          <w:tcPr>
            <w:tcW w:w="8880" w:type="dxa"/>
            <w:vAlign w:val="bottom"/>
            <w:tcBorders>
              <w:right w:val="single" w:sz="8" w:color="47829E"/>
            </w:tcBorders>
          </w:tcPr>
          <w:p>
            <w:pPr>
              <w:ind w:left="520"/>
              <w:spacing w:after="0" w:line="202" w:lineRule="exact"/>
              <w:rPr>
                <w:sz w:val="20"/>
                <w:szCs w:val="20"/>
                <w:color w:val="auto"/>
              </w:rPr>
            </w:pPr>
            <w:r>
              <w:rPr>
                <w:rFonts w:ascii="Arial" w:cs="Arial" w:eastAsia="Arial" w:hAnsi="Arial"/>
                <w:sz w:val="18"/>
                <w:szCs w:val="18"/>
                <w:color w:val="auto"/>
                <w:w w:val="98"/>
              </w:rPr>
              <w:t>vesting schedule is five-year cliff vesting (nothing vests until the end of five years and is generally forfeited</w:t>
            </w:r>
          </w:p>
        </w:tc>
      </w:tr>
      <w:tr>
        <w:trPr>
          <w:trHeight w:val="212"/>
        </w:trPr>
        <w:tc>
          <w:tcPr>
            <w:tcW w:w="2560" w:type="dxa"/>
            <w:vAlign w:val="bottom"/>
            <w:tcBorders>
              <w:left w:val="single" w:sz="8" w:color="47829E"/>
              <w:right w:val="single" w:sz="8" w:color="47829E"/>
            </w:tcBorders>
          </w:tcPr>
          <w:p>
            <w:pPr>
              <w:spacing w:after="0"/>
              <w:rPr>
                <w:sz w:val="18"/>
                <w:szCs w:val="18"/>
                <w:color w:val="auto"/>
              </w:rPr>
            </w:pPr>
          </w:p>
        </w:tc>
        <w:tc>
          <w:tcPr>
            <w:tcW w:w="8880" w:type="dxa"/>
            <w:vAlign w:val="bottom"/>
            <w:tcBorders>
              <w:right w:val="single" w:sz="8" w:color="47829E"/>
            </w:tcBorders>
          </w:tcPr>
          <w:p>
            <w:pPr>
              <w:ind w:left="520"/>
              <w:spacing w:after="0"/>
              <w:rPr>
                <w:sz w:val="20"/>
                <w:szCs w:val="20"/>
                <w:color w:val="auto"/>
              </w:rPr>
            </w:pPr>
            <w:r>
              <w:rPr>
                <w:rFonts w:ascii="Arial" w:cs="Arial" w:eastAsia="Arial" w:hAnsi="Arial"/>
                <w:sz w:val="18"/>
                <w:szCs w:val="18"/>
                <w:color w:val="auto"/>
              </w:rPr>
              <w:t>if employment is terminated prior to the vesting date).</w:t>
            </w:r>
          </w:p>
        </w:tc>
      </w:tr>
      <w:tr>
        <w:trPr>
          <w:trHeight w:val="207"/>
        </w:trPr>
        <w:tc>
          <w:tcPr>
            <w:tcW w:w="2560" w:type="dxa"/>
            <w:vAlign w:val="bottom"/>
            <w:tcBorders>
              <w:left w:val="single" w:sz="8" w:color="47829E"/>
              <w:right w:val="single" w:sz="8" w:color="47829E"/>
            </w:tcBorders>
            <w:shd w:val="clear" w:color="auto" w:fill="E3ECF0"/>
          </w:tcPr>
          <w:p>
            <w:pPr>
              <w:ind w:left="120"/>
              <w:spacing w:after="0"/>
              <w:rPr>
                <w:sz w:val="20"/>
                <w:szCs w:val="20"/>
                <w:color w:val="auto"/>
              </w:rPr>
            </w:pPr>
            <w:r>
              <w:rPr>
                <w:rFonts w:ascii="Arial" w:cs="Arial" w:eastAsia="Arial" w:hAnsi="Arial"/>
                <w:sz w:val="18"/>
                <w:szCs w:val="18"/>
                <w:b w:val="1"/>
                <w:bCs w:val="1"/>
                <w:color w:val="auto"/>
              </w:rPr>
              <w:t>Total Compensation</w:t>
            </w:r>
          </w:p>
        </w:tc>
        <w:tc>
          <w:tcPr>
            <w:tcW w:w="8880" w:type="dxa"/>
            <w:vAlign w:val="bottom"/>
            <w:tcBorders>
              <w:right w:val="single" w:sz="8" w:color="47829E"/>
            </w:tcBorders>
            <w:shd w:val="clear" w:color="auto" w:fill="E3ECF0"/>
          </w:tcPr>
          <w:p>
            <w:pPr>
              <w:ind w:left="80"/>
              <w:spacing w:after="0" w:line="207" w:lineRule="exact"/>
              <w:rPr>
                <w:sz w:val="20"/>
                <w:szCs w:val="20"/>
                <w:color w:val="auto"/>
              </w:rPr>
            </w:pPr>
            <w:r>
              <w:rPr>
                <w:rFonts w:ascii="Arial" w:cs="Arial" w:eastAsia="Arial" w:hAnsi="Arial"/>
                <w:sz w:val="18"/>
                <w:szCs w:val="18"/>
                <w:color w:val="auto"/>
              </w:rPr>
              <w:t>Targeted total compensation opportunity is the size-adjusted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our compensation peer group.</w:t>
            </w:r>
          </w:p>
        </w:tc>
      </w:tr>
      <w:tr>
        <w:trPr>
          <w:trHeight w:val="203"/>
        </w:trPr>
        <w:tc>
          <w:tcPr>
            <w:tcW w:w="2560" w:type="dxa"/>
            <w:vAlign w:val="bottom"/>
            <w:tcBorders>
              <w:left w:val="single" w:sz="8" w:color="47829E"/>
              <w:right w:val="single" w:sz="8" w:color="47829E"/>
            </w:tcBorders>
            <w:shd w:val="clear" w:color="auto" w:fill="E3ECF0"/>
          </w:tcPr>
          <w:p>
            <w:pPr>
              <w:spacing w:after="0"/>
              <w:rPr>
                <w:sz w:val="17"/>
                <w:szCs w:val="17"/>
                <w:color w:val="auto"/>
              </w:rPr>
            </w:pPr>
          </w:p>
        </w:tc>
        <w:tc>
          <w:tcPr>
            <w:tcW w:w="8880" w:type="dxa"/>
            <w:vAlign w:val="bottom"/>
            <w:tcBorders>
              <w:right w:val="single" w:sz="8" w:color="47829E"/>
            </w:tcBorders>
            <w:shd w:val="clear" w:color="auto" w:fill="E3ECF0"/>
          </w:tcPr>
          <w:p>
            <w:pPr>
              <w:ind w:left="80"/>
              <w:spacing w:after="0" w:line="202" w:lineRule="exact"/>
              <w:rPr>
                <w:sz w:val="20"/>
                <w:szCs w:val="20"/>
                <w:color w:val="auto"/>
              </w:rPr>
            </w:pPr>
            <w:r>
              <w:rPr>
                <w:rFonts w:ascii="Arial" w:cs="Arial" w:eastAsia="Arial" w:hAnsi="Arial"/>
                <w:sz w:val="18"/>
                <w:szCs w:val="18"/>
                <w:color w:val="auto"/>
              </w:rPr>
              <w:t>Overall, the Committee believes targeted compensation should be more heavily weighted on variable “at-risk”</w:t>
            </w:r>
          </w:p>
        </w:tc>
      </w:tr>
      <w:tr>
        <w:trPr>
          <w:trHeight w:val="199"/>
        </w:trPr>
        <w:tc>
          <w:tcPr>
            <w:tcW w:w="2560" w:type="dxa"/>
            <w:vAlign w:val="bottom"/>
            <w:tcBorders>
              <w:left w:val="single" w:sz="8" w:color="47829E"/>
              <w:bottom w:val="single" w:sz="8" w:color="47829E"/>
              <w:right w:val="single" w:sz="8" w:color="47829E"/>
            </w:tcBorders>
            <w:shd w:val="clear" w:color="auto" w:fill="E3ECF0"/>
          </w:tcPr>
          <w:p>
            <w:pPr>
              <w:spacing w:after="0"/>
              <w:rPr>
                <w:sz w:val="17"/>
                <w:szCs w:val="17"/>
                <w:color w:val="auto"/>
              </w:rPr>
            </w:pPr>
          </w:p>
        </w:tc>
        <w:tc>
          <w:tcPr>
            <w:tcW w:w="8880" w:type="dxa"/>
            <w:vAlign w:val="bottom"/>
            <w:tcBorders>
              <w:bottom w:val="single" w:sz="8" w:color="47829E"/>
              <w:right w:val="single" w:sz="8" w:color="47829E"/>
            </w:tcBorders>
            <w:shd w:val="clear" w:color="auto" w:fill="E3ECF0"/>
          </w:tcPr>
          <w:p>
            <w:pPr>
              <w:ind w:left="80"/>
              <w:spacing w:after="0" w:line="200" w:lineRule="exact"/>
              <w:rPr>
                <w:sz w:val="20"/>
                <w:szCs w:val="20"/>
                <w:color w:val="auto"/>
              </w:rPr>
            </w:pPr>
            <w:r>
              <w:rPr>
                <w:rFonts w:ascii="Arial" w:cs="Arial" w:eastAsia="Arial" w:hAnsi="Arial"/>
                <w:sz w:val="18"/>
                <w:szCs w:val="18"/>
                <w:color w:val="auto"/>
              </w:rPr>
              <w:t>compensation and longer -term components.</w:t>
            </w:r>
          </w:p>
        </w:tc>
      </w:tr>
      <w:tr>
        <w:trPr>
          <w:trHeight w:val="356"/>
        </w:trPr>
        <w:tc>
          <w:tcPr>
            <w:tcW w:w="2560" w:type="dxa"/>
            <w:vAlign w:val="bottom"/>
          </w:tcPr>
          <w:p>
            <w:pPr>
              <w:spacing w:after="0"/>
              <w:rPr>
                <w:sz w:val="24"/>
                <w:szCs w:val="24"/>
                <w:color w:val="auto"/>
              </w:rPr>
            </w:pPr>
          </w:p>
        </w:tc>
        <w:tc>
          <w:tcPr>
            <w:tcW w:w="8880" w:type="dxa"/>
            <w:vAlign w:val="bottom"/>
          </w:tcPr>
          <w:p>
            <w:pPr>
              <w:ind w:left="306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40"/>
          </w:cols>
          <w:pgMar w:left="240" w:top="291" w:right="2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Committee approved the following </w:t>
      </w:r>
      <w:r>
        <w:rPr>
          <w:rFonts w:ascii="Arial" w:cs="Arial" w:eastAsia="Arial" w:hAnsi="Arial"/>
          <w:sz w:val="18"/>
          <w:szCs w:val="18"/>
          <w:u w:val="single" w:color="auto"/>
          <w:color w:val="auto"/>
        </w:rPr>
        <w:t>actual</w:t>
      </w:r>
      <w:r>
        <w:rPr>
          <w:rFonts w:ascii="Arial" w:cs="Arial" w:eastAsia="Arial" w:hAnsi="Arial"/>
          <w:sz w:val="18"/>
          <w:szCs w:val="18"/>
          <w:color w:val="auto"/>
        </w:rPr>
        <w:t xml:space="preserve"> compensation items in 2014.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80"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Committee determines base salaries for the NEOs and other executives based on a number of factors, including but not limited to, market data, individual performance, the Company’s performance, and management recommendations (except for the CEO). At the January 2014 meeting, based on a review of competitive market data and management’s recommendations based on individual performance (except for the CEO) and the Committee’s assessment of Mr. Nye’s performance, the Committee approved the following increases.</w:t>
      </w:r>
    </w:p>
    <w:p>
      <w:pPr>
        <w:spacing w:after="0" w:line="15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connection with Mr. Nye’s election as Chairman of the Board of Directors following the 2014 annual meeting of shareholders in May 2014, and following an extensive review of competitive market data for other combined Chairman and CEO roles, the Committee approved a promotional increase for Mr. Nye.</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No adjustments to base salary were made for our NEOs following the TXI acquisition in July 2014 despite the expanded responsibilities of the executive officers, the much larger size of the Company, and the new entry of the Company into the S&amp;P 500 Index.</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shd w:val="clear" w:color="auto" w:fill="47829E"/>
          </w:tcPr>
          <w:p>
            <w:pPr>
              <w:spacing w:after="0"/>
              <w:rPr>
                <w:sz w:val="17"/>
                <w:szCs w:val="17"/>
                <w:color w:val="auto"/>
              </w:rPr>
            </w:pPr>
          </w:p>
        </w:tc>
        <w:tc>
          <w:tcPr>
            <w:tcW w:w="1280" w:type="dxa"/>
            <w:vAlign w:val="bottom"/>
            <w:shd w:val="clear" w:color="auto" w:fill="47829E"/>
          </w:tcPr>
          <w:p>
            <w:pPr>
              <w:spacing w:after="0"/>
              <w:rPr>
                <w:sz w:val="17"/>
                <w:szCs w:val="17"/>
                <w:color w:val="auto"/>
              </w:rPr>
            </w:pPr>
          </w:p>
        </w:tc>
        <w:tc>
          <w:tcPr>
            <w:tcW w:w="1120" w:type="dxa"/>
            <w:vAlign w:val="bottom"/>
            <w:shd w:val="clear" w:color="auto" w:fill="47829E"/>
          </w:tcPr>
          <w:p>
            <w:pPr>
              <w:ind w:left="100"/>
              <w:spacing w:after="0"/>
              <w:rPr>
                <w:sz w:val="20"/>
                <w:szCs w:val="20"/>
                <w:color w:val="auto"/>
              </w:rPr>
            </w:pPr>
            <w:r>
              <w:rPr>
                <w:rFonts w:ascii="Arial" w:cs="Arial" w:eastAsia="Arial" w:hAnsi="Arial"/>
                <w:sz w:val="18"/>
                <w:szCs w:val="18"/>
                <w:b w:val="1"/>
                <w:bCs w:val="1"/>
                <w:color w:val="FFFFFF"/>
              </w:rPr>
              <w:t>2013</w:t>
            </w:r>
          </w:p>
        </w:tc>
        <w:tc>
          <w:tcPr>
            <w:tcW w:w="1480" w:type="dxa"/>
            <w:vAlign w:val="bottom"/>
            <w:shd w:val="clear" w:color="auto" w:fill="47829E"/>
          </w:tcPr>
          <w:p>
            <w:pPr>
              <w:jc w:val="right"/>
              <w:ind w:right="272"/>
              <w:spacing w:after="0"/>
              <w:rPr>
                <w:sz w:val="20"/>
                <w:szCs w:val="20"/>
                <w:color w:val="auto"/>
              </w:rPr>
            </w:pPr>
            <w:r>
              <w:rPr>
                <w:rFonts w:ascii="Arial" w:cs="Arial" w:eastAsia="Arial" w:hAnsi="Arial"/>
                <w:sz w:val="18"/>
                <w:szCs w:val="18"/>
                <w:b w:val="1"/>
                <w:bCs w:val="1"/>
                <w:color w:val="FFFFFF"/>
              </w:rPr>
              <w:t>Percentage</w:t>
            </w:r>
          </w:p>
        </w:tc>
        <w:tc>
          <w:tcPr>
            <w:tcW w:w="2080" w:type="dxa"/>
            <w:vAlign w:val="bottom"/>
            <w:shd w:val="clear" w:color="auto" w:fill="47829E"/>
          </w:tcPr>
          <w:p>
            <w:pPr>
              <w:spacing w:after="0"/>
              <w:rPr>
                <w:sz w:val="17"/>
                <w:szCs w:val="17"/>
                <w:color w:val="auto"/>
              </w:rPr>
            </w:pPr>
          </w:p>
        </w:tc>
        <w:tc>
          <w:tcPr>
            <w:tcW w:w="1080" w:type="dxa"/>
            <w:vAlign w:val="bottom"/>
            <w:shd w:val="clear" w:color="auto" w:fill="47829E"/>
          </w:tcPr>
          <w:p>
            <w:pPr>
              <w:jc w:val="right"/>
              <w:ind w:right="172"/>
              <w:spacing w:after="0"/>
              <w:rPr>
                <w:sz w:val="20"/>
                <w:szCs w:val="20"/>
                <w:color w:val="auto"/>
              </w:rPr>
            </w:pPr>
            <w:r>
              <w:rPr>
                <w:rFonts w:ascii="Arial" w:cs="Arial" w:eastAsia="Arial" w:hAnsi="Arial"/>
                <w:sz w:val="18"/>
                <w:szCs w:val="18"/>
                <w:b w:val="1"/>
                <w:bCs w:val="1"/>
                <w:color w:val="FFFFFF"/>
              </w:rPr>
              <w:t>Effective</w:t>
            </w:r>
          </w:p>
        </w:tc>
        <w:tc>
          <w:tcPr>
            <w:tcW w:w="440" w:type="dxa"/>
            <w:vAlign w:val="bottom"/>
            <w:shd w:val="clear" w:color="auto" w:fill="47829E"/>
          </w:tcPr>
          <w:p>
            <w:pPr>
              <w:spacing w:after="0"/>
              <w:rPr>
                <w:sz w:val="17"/>
                <w:szCs w:val="17"/>
                <w:color w:val="auto"/>
              </w:rPr>
            </w:pPr>
          </w:p>
        </w:tc>
        <w:tc>
          <w:tcPr>
            <w:tcW w:w="1120" w:type="dxa"/>
            <w:vAlign w:val="bottom"/>
            <w:shd w:val="clear" w:color="auto" w:fill="47829E"/>
          </w:tcPr>
          <w:p>
            <w:pPr>
              <w:jc w:val="right"/>
              <w:ind w:right="532"/>
              <w:spacing w:after="0"/>
              <w:rPr>
                <w:sz w:val="20"/>
                <w:szCs w:val="20"/>
                <w:color w:val="auto"/>
              </w:rPr>
            </w:pPr>
            <w:r>
              <w:rPr>
                <w:rFonts w:ascii="Arial" w:cs="Arial" w:eastAsia="Arial" w:hAnsi="Arial"/>
                <w:sz w:val="18"/>
                <w:szCs w:val="18"/>
                <w:b w:val="1"/>
                <w:bCs w:val="1"/>
                <w:color w:val="FFFFFF"/>
              </w:rPr>
              <w:t>2014</w:t>
            </w:r>
          </w:p>
        </w:tc>
        <w:tc>
          <w:tcPr>
            <w:tcW w:w="20" w:type="dxa"/>
            <w:vAlign w:val="bottom"/>
            <w:shd w:val="clear" w:color="auto" w:fill="47829E"/>
          </w:tcPr>
          <w:p>
            <w:pPr>
              <w:spacing w:after="0"/>
              <w:rPr>
                <w:sz w:val="17"/>
                <w:szCs w:val="17"/>
                <w:color w:val="auto"/>
              </w:rPr>
            </w:pPr>
          </w:p>
        </w:tc>
      </w:tr>
      <w:tr>
        <w:trPr>
          <w:trHeight w:val="235"/>
        </w:trPr>
        <w:tc>
          <w:tcPr>
            <w:tcW w:w="2820" w:type="dxa"/>
            <w:vAlign w:val="bottom"/>
            <w:shd w:val="clear" w:color="auto" w:fill="47829E"/>
          </w:tcPr>
          <w:p>
            <w:pPr>
              <w:ind w:left="120"/>
              <w:spacing w:after="0"/>
              <w:rPr>
                <w:sz w:val="20"/>
                <w:szCs w:val="20"/>
                <w:color w:val="auto"/>
              </w:rPr>
            </w:pPr>
            <w:r>
              <w:rPr>
                <w:rFonts w:ascii="Arial" w:cs="Arial" w:eastAsia="Arial" w:hAnsi="Arial"/>
                <w:sz w:val="18"/>
                <w:szCs w:val="18"/>
                <w:b w:val="1"/>
                <w:bCs w:val="1"/>
                <w:color w:val="FFFFFF"/>
              </w:rPr>
              <w:t>NEO</w:t>
            </w:r>
          </w:p>
        </w:tc>
        <w:tc>
          <w:tcPr>
            <w:tcW w:w="2400" w:type="dxa"/>
            <w:vAlign w:val="bottom"/>
            <w:gridSpan w:val="2"/>
            <w:shd w:val="clear" w:color="auto" w:fill="47829E"/>
          </w:tcPr>
          <w:p>
            <w:pPr>
              <w:ind w:left="1080"/>
              <w:spacing w:after="0"/>
              <w:rPr>
                <w:sz w:val="20"/>
                <w:szCs w:val="20"/>
                <w:color w:val="auto"/>
              </w:rPr>
            </w:pPr>
            <w:r>
              <w:rPr>
                <w:rFonts w:ascii="Arial" w:cs="Arial" w:eastAsia="Arial" w:hAnsi="Arial"/>
                <w:sz w:val="18"/>
                <w:szCs w:val="18"/>
                <w:b w:val="1"/>
                <w:bCs w:val="1"/>
                <w:color w:val="FFFFFF"/>
              </w:rPr>
              <w:t>Base Salary</w:t>
            </w:r>
          </w:p>
        </w:tc>
        <w:tc>
          <w:tcPr>
            <w:tcW w:w="1480" w:type="dxa"/>
            <w:vAlign w:val="bottom"/>
            <w:shd w:val="clear" w:color="auto" w:fill="47829E"/>
          </w:tcPr>
          <w:p>
            <w:pPr>
              <w:jc w:val="right"/>
              <w:ind w:right="352"/>
              <w:spacing w:after="0"/>
              <w:rPr>
                <w:sz w:val="20"/>
                <w:szCs w:val="20"/>
                <w:color w:val="auto"/>
              </w:rPr>
            </w:pPr>
            <w:r>
              <w:rPr>
                <w:rFonts w:ascii="Arial" w:cs="Arial" w:eastAsia="Arial" w:hAnsi="Arial"/>
                <w:sz w:val="18"/>
                <w:szCs w:val="18"/>
                <w:b w:val="1"/>
                <w:bCs w:val="1"/>
                <w:color w:val="FFFFFF"/>
              </w:rPr>
              <w:t>Increase*</w:t>
            </w:r>
          </w:p>
        </w:tc>
        <w:tc>
          <w:tcPr>
            <w:tcW w:w="2080" w:type="dxa"/>
            <w:vAlign w:val="bottom"/>
            <w:shd w:val="clear" w:color="auto" w:fill="47829E"/>
          </w:tcPr>
          <w:p>
            <w:pPr>
              <w:jc w:val="center"/>
              <w:spacing w:after="0"/>
              <w:rPr>
                <w:sz w:val="20"/>
                <w:szCs w:val="20"/>
                <w:color w:val="auto"/>
              </w:rPr>
            </w:pPr>
            <w:r>
              <w:rPr>
                <w:rFonts w:ascii="Arial" w:cs="Arial" w:eastAsia="Arial" w:hAnsi="Arial"/>
                <w:sz w:val="18"/>
                <w:szCs w:val="18"/>
                <w:b w:val="1"/>
                <w:bCs w:val="1"/>
                <w:color w:val="FFFFFF"/>
                <w:w w:val="98"/>
              </w:rPr>
              <w:t>Reason</w:t>
            </w:r>
          </w:p>
        </w:tc>
        <w:tc>
          <w:tcPr>
            <w:tcW w:w="1080" w:type="dxa"/>
            <w:vAlign w:val="bottom"/>
            <w:shd w:val="clear" w:color="auto" w:fill="47829E"/>
          </w:tcPr>
          <w:p>
            <w:pPr>
              <w:jc w:val="right"/>
              <w:ind w:right="352"/>
              <w:spacing w:after="0"/>
              <w:rPr>
                <w:sz w:val="20"/>
                <w:szCs w:val="20"/>
                <w:color w:val="auto"/>
              </w:rPr>
            </w:pPr>
            <w:r>
              <w:rPr>
                <w:rFonts w:ascii="Arial" w:cs="Arial" w:eastAsia="Arial" w:hAnsi="Arial"/>
                <w:sz w:val="18"/>
                <w:szCs w:val="18"/>
                <w:b w:val="1"/>
                <w:bCs w:val="1"/>
                <w:color w:val="FFFFFF"/>
              </w:rPr>
              <w:t>Date</w:t>
            </w:r>
          </w:p>
        </w:tc>
        <w:tc>
          <w:tcPr>
            <w:tcW w:w="1560" w:type="dxa"/>
            <w:vAlign w:val="bottom"/>
            <w:gridSpan w:val="2"/>
            <w:shd w:val="clear" w:color="auto" w:fill="47829E"/>
          </w:tcPr>
          <w:p>
            <w:pPr>
              <w:ind w:left="240"/>
              <w:spacing w:after="0"/>
              <w:rPr>
                <w:sz w:val="20"/>
                <w:szCs w:val="20"/>
                <w:color w:val="auto"/>
              </w:rPr>
            </w:pPr>
            <w:r>
              <w:rPr>
                <w:rFonts w:ascii="Arial" w:cs="Arial" w:eastAsia="Arial" w:hAnsi="Arial"/>
                <w:sz w:val="18"/>
                <w:szCs w:val="18"/>
                <w:b w:val="1"/>
                <w:bCs w:val="1"/>
                <w:color w:val="FFFFFF"/>
              </w:rPr>
              <w:t>Base Salary</w:t>
            </w:r>
          </w:p>
        </w:tc>
        <w:tc>
          <w:tcPr>
            <w:tcW w:w="20" w:type="dxa"/>
            <w:vAlign w:val="bottom"/>
            <w:shd w:val="clear" w:color="auto" w:fill="47829E"/>
          </w:tcPr>
          <w:p>
            <w:pPr>
              <w:spacing w:after="0"/>
              <w:rPr>
                <w:sz w:val="20"/>
                <w:szCs w:val="20"/>
                <w:color w:val="auto"/>
              </w:rPr>
            </w:pPr>
          </w:p>
        </w:tc>
      </w:tr>
      <w:tr>
        <w:trPr>
          <w:trHeight w:val="206"/>
        </w:trPr>
        <w:tc>
          <w:tcPr>
            <w:tcW w:w="2820" w:type="dxa"/>
            <w:vAlign w:val="bottom"/>
          </w:tcPr>
          <w:p>
            <w:pPr>
              <w:ind w:left="120"/>
              <w:spacing w:after="0" w:line="206" w:lineRule="exact"/>
              <w:rPr>
                <w:sz w:val="20"/>
                <w:szCs w:val="20"/>
                <w:color w:val="auto"/>
              </w:rPr>
            </w:pPr>
            <w:r>
              <w:rPr>
                <w:rFonts w:ascii="Arial" w:cs="Arial" w:eastAsia="Arial" w:hAnsi="Arial"/>
                <w:sz w:val="18"/>
                <w:szCs w:val="18"/>
                <w:color w:val="auto"/>
              </w:rPr>
              <w:t>C. Howard Nye</w:t>
            </w:r>
          </w:p>
        </w:tc>
        <w:tc>
          <w:tcPr>
            <w:tcW w:w="1280" w:type="dxa"/>
            <w:vAlign w:val="bottom"/>
          </w:tcPr>
          <w:p>
            <w:pPr>
              <w:ind w:left="1080"/>
              <w:spacing w:after="0" w:line="206" w:lineRule="exact"/>
              <w:rPr>
                <w:sz w:val="20"/>
                <w:szCs w:val="20"/>
                <w:color w:val="auto"/>
              </w:rPr>
            </w:pPr>
            <w:r>
              <w:rPr>
                <w:rFonts w:ascii="Arial" w:cs="Arial" w:eastAsia="Arial" w:hAnsi="Arial"/>
                <w:sz w:val="18"/>
                <w:szCs w:val="18"/>
                <w:color w:val="auto"/>
              </w:rPr>
              <w:t>$</w:t>
            </w:r>
          </w:p>
        </w:tc>
        <w:tc>
          <w:tcPr>
            <w:tcW w:w="1120" w:type="dxa"/>
            <w:vAlign w:val="bottom"/>
          </w:tcPr>
          <w:p>
            <w:pPr>
              <w:ind w:left="160"/>
              <w:spacing w:after="0" w:line="206" w:lineRule="exact"/>
              <w:rPr>
                <w:sz w:val="20"/>
                <w:szCs w:val="20"/>
                <w:color w:val="auto"/>
              </w:rPr>
            </w:pPr>
            <w:r>
              <w:rPr>
                <w:rFonts w:ascii="Arial" w:cs="Arial" w:eastAsia="Arial" w:hAnsi="Arial"/>
                <w:sz w:val="18"/>
                <w:szCs w:val="18"/>
                <w:color w:val="auto"/>
              </w:rPr>
              <w:t>875,000</w:t>
            </w:r>
          </w:p>
        </w:tc>
        <w:tc>
          <w:tcPr>
            <w:tcW w:w="1480" w:type="dxa"/>
            <w:vAlign w:val="bottom"/>
          </w:tcPr>
          <w:p>
            <w:pPr>
              <w:jc w:val="right"/>
              <w:ind w:right="92"/>
              <w:spacing w:after="0" w:line="206" w:lineRule="exact"/>
              <w:rPr>
                <w:sz w:val="20"/>
                <w:szCs w:val="20"/>
                <w:color w:val="auto"/>
              </w:rPr>
            </w:pPr>
            <w:r>
              <w:rPr>
                <w:rFonts w:ascii="Arial" w:cs="Arial" w:eastAsia="Arial" w:hAnsi="Arial"/>
                <w:sz w:val="18"/>
                <w:szCs w:val="18"/>
                <w:color w:val="auto"/>
              </w:rPr>
              <w:t>3.2%</w:t>
            </w:r>
          </w:p>
        </w:tc>
        <w:tc>
          <w:tcPr>
            <w:tcW w:w="2080" w:type="dxa"/>
            <w:vAlign w:val="bottom"/>
          </w:tcPr>
          <w:p>
            <w:pPr>
              <w:jc w:val="center"/>
              <w:spacing w:after="0" w:line="206" w:lineRule="exact"/>
              <w:rPr>
                <w:sz w:val="20"/>
                <w:szCs w:val="20"/>
                <w:color w:val="auto"/>
              </w:rPr>
            </w:pPr>
            <w:r>
              <w:rPr>
                <w:rFonts w:ascii="Arial" w:cs="Arial" w:eastAsia="Arial" w:hAnsi="Arial"/>
                <w:sz w:val="18"/>
                <w:szCs w:val="18"/>
                <w:color w:val="auto"/>
                <w:w w:val="96"/>
              </w:rPr>
              <w:t>Merit Increase</w:t>
            </w:r>
          </w:p>
        </w:tc>
        <w:tc>
          <w:tcPr>
            <w:tcW w:w="1080" w:type="dxa"/>
            <w:vAlign w:val="bottom"/>
          </w:tcPr>
          <w:p>
            <w:pPr>
              <w:jc w:val="right"/>
              <w:ind w:right="152"/>
              <w:spacing w:after="0" w:line="206" w:lineRule="exact"/>
              <w:rPr>
                <w:sz w:val="20"/>
                <w:szCs w:val="20"/>
                <w:color w:val="auto"/>
              </w:rPr>
            </w:pPr>
            <w:r>
              <w:rPr>
                <w:rFonts w:ascii="Arial" w:cs="Arial" w:eastAsia="Arial" w:hAnsi="Arial"/>
                <w:sz w:val="18"/>
                <w:szCs w:val="18"/>
                <w:color w:val="auto"/>
              </w:rPr>
              <w:t>2/1/14</w:t>
            </w:r>
          </w:p>
        </w:tc>
        <w:tc>
          <w:tcPr>
            <w:tcW w:w="440" w:type="dxa"/>
            <w:vAlign w:val="bottom"/>
          </w:tcPr>
          <w:p>
            <w:pPr>
              <w:ind w:left="240"/>
              <w:spacing w:after="0" w:line="20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line="206" w:lineRule="exact"/>
              <w:rPr>
                <w:sz w:val="20"/>
                <w:szCs w:val="20"/>
                <w:color w:val="auto"/>
              </w:rPr>
            </w:pPr>
            <w:r>
              <w:rPr>
                <w:rFonts w:ascii="Arial" w:cs="Arial" w:eastAsia="Arial" w:hAnsi="Arial"/>
                <w:sz w:val="18"/>
                <w:szCs w:val="18"/>
                <w:color w:val="auto"/>
              </w:rPr>
              <w:t>905,000</w:t>
            </w:r>
          </w:p>
        </w:tc>
        <w:tc>
          <w:tcPr>
            <w:tcW w:w="20" w:type="dxa"/>
            <w:vAlign w:val="bottom"/>
          </w:tcPr>
          <w:p>
            <w:pPr>
              <w:spacing w:after="0"/>
              <w:rPr>
                <w:sz w:val="17"/>
                <w:szCs w:val="17"/>
                <w:color w:val="auto"/>
              </w:rPr>
            </w:pPr>
          </w:p>
        </w:tc>
      </w:tr>
      <w:tr>
        <w:trPr>
          <w:trHeight w:val="213"/>
        </w:trPr>
        <w:tc>
          <w:tcPr>
            <w:tcW w:w="2820" w:type="dxa"/>
            <w:vAlign w:val="bottom"/>
          </w:tcPr>
          <w:p>
            <w:pPr>
              <w:spacing w:after="0"/>
              <w:rPr>
                <w:sz w:val="18"/>
                <w:szCs w:val="18"/>
                <w:color w:val="auto"/>
              </w:rPr>
            </w:pPr>
          </w:p>
        </w:tc>
        <w:tc>
          <w:tcPr>
            <w:tcW w:w="1280" w:type="dxa"/>
            <w:vAlign w:val="bottom"/>
          </w:tcPr>
          <w:p>
            <w:pPr>
              <w:ind w:left="1080"/>
              <w:spacing w:after="0"/>
              <w:rPr>
                <w:sz w:val="20"/>
                <w:szCs w:val="20"/>
                <w:color w:val="auto"/>
              </w:rPr>
            </w:pPr>
            <w:r>
              <w:rPr>
                <w:rFonts w:ascii="Arial" w:cs="Arial" w:eastAsia="Arial" w:hAnsi="Arial"/>
                <w:sz w:val="18"/>
                <w:szCs w:val="18"/>
                <w:color w:val="auto"/>
              </w:rPr>
              <w:t>$</w:t>
            </w:r>
          </w:p>
        </w:tc>
        <w:tc>
          <w:tcPr>
            <w:tcW w:w="1120" w:type="dxa"/>
            <w:vAlign w:val="bottom"/>
          </w:tcPr>
          <w:p>
            <w:pPr>
              <w:ind w:left="160"/>
              <w:spacing w:after="0"/>
              <w:rPr>
                <w:sz w:val="20"/>
                <w:szCs w:val="20"/>
                <w:color w:val="auto"/>
              </w:rPr>
            </w:pPr>
            <w:r>
              <w:rPr>
                <w:rFonts w:ascii="Arial" w:cs="Arial" w:eastAsia="Arial" w:hAnsi="Arial"/>
                <w:sz w:val="18"/>
                <w:szCs w:val="18"/>
                <w:color w:val="auto"/>
              </w:rPr>
              <w:t>905,000**</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5.0%</w:t>
            </w:r>
          </w:p>
        </w:tc>
        <w:tc>
          <w:tcPr>
            <w:tcW w:w="2080" w:type="dxa"/>
            <w:vAlign w:val="bottom"/>
          </w:tcPr>
          <w:p>
            <w:pPr>
              <w:jc w:val="center"/>
              <w:spacing w:after="0"/>
              <w:rPr>
                <w:sz w:val="20"/>
                <w:szCs w:val="20"/>
                <w:color w:val="auto"/>
              </w:rPr>
            </w:pPr>
            <w:r>
              <w:rPr>
                <w:rFonts w:ascii="Arial" w:cs="Arial" w:eastAsia="Arial" w:hAnsi="Arial"/>
                <w:sz w:val="18"/>
                <w:szCs w:val="18"/>
                <w:color w:val="auto"/>
                <w:w w:val="97"/>
              </w:rPr>
              <w:t>Promotion to Chairman</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6/1/14</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950,000</w:t>
            </w:r>
          </w:p>
        </w:tc>
        <w:tc>
          <w:tcPr>
            <w:tcW w:w="20" w:type="dxa"/>
            <w:vAlign w:val="bottom"/>
          </w:tcPr>
          <w:p>
            <w:pPr>
              <w:spacing w:after="0"/>
              <w:rPr>
                <w:sz w:val="18"/>
                <w:szCs w:val="18"/>
                <w:color w:val="auto"/>
              </w:rPr>
            </w:pPr>
          </w:p>
        </w:tc>
      </w:tr>
      <w:tr>
        <w:trPr>
          <w:trHeight w:val="203"/>
        </w:trPr>
        <w:tc>
          <w:tcPr>
            <w:tcW w:w="2820" w:type="dxa"/>
            <w:vAlign w:val="bottom"/>
            <w:shd w:val="clear" w:color="auto" w:fill="E3ECF0"/>
          </w:tcPr>
          <w:p>
            <w:pPr>
              <w:ind w:left="120"/>
              <w:spacing w:after="0" w:line="202" w:lineRule="exact"/>
              <w:rPr>
                <w:sz w:val="20"/>
                <w:szCs w:val="20"/>
                <w:color w:val="auto"/>
              </w:rPr>
            </w:pPr>
            <w:r>
              <w:rPr>
                <w:rFonts w:ascii="Arial" w:cs="Arial" w:eastAsia="Arial" w:hAnsi="Arial"/>
                <w:sz w:val="18"/>
                <w:szCs w:val="18"/>
                <w:color w:val="auto"/>
              </w:rPr>
              <w:t>Anne H. Lloyd</w:t>
            </w:r>
          </w:p>
        </w:tc>
        <w:tc>
          <w:tcPr>
            <w:tcW w:w="1280" w:type="dxa"/>
            <w:vAlign w:val="bottom"/>
            <w:shd w:val="clear" w:color="auto" w:fill="E3ECF0"/>
          </w:tcPr>
          <w:p>
            <w:pPr>
              <w:ind w:left="108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3ECF0"/>
          </w:tcPr>
          <w:p>
            <w:pPr>
              <w:ind w:left="160"/>
              <w:spacing w:after="0" w:line="202" w:lineRule="exact"/>
              <w:rPr>
                <w:sz w:val="20"/>
                <w:szCs w:val="20"/>
                <w:color w:val="auto"/>
              </w:rPr>
            </w:pPr>
            <w:r>
              <w:rPr>
                <w:rFonts w:ascii="Arial" w:cs="Arial" w:eastAsia="Arial" w:hAnsi="Arial"/>
                <w:sz w:val="18"/>
                <w:szCs w:val="18"/>
                <w:color w:val="auto"/>
              </w:rPr>
              <w:t>505,000</w:t>
            </w:r>
          </w:p>
        </w:tc>
        <w:tc>
          <w:tcPr>
            <w:tcW w:w="1480" w:type="dxa"/>
            <w:vAlign w:val="bottom"/>
            <w:shd w:val="clear" w:color="auto" w:fill="E3ECF0"/>
          </w:tcPr>
          <w:p>
            <w:pPr>
              <w:jc w:val="right"/>
              <w:ind w:right="92"/>
              <w:spacing w:after="0" w:line="202" w:lineRule="exact"/>
              <w:rPr>
                <w:sz w:val="20"/>
                <w:szCs w:val="20"/>
                <w:color w:val="auto"/>
              </w:rPr>
            </w:pPr>
            <w:r>
              <w:rPr>
                <w:rFonts w:ascii="Arial" w:cs="Arial" w:eastAsia="Arial" w:hAnsi="Arial"/>
                <w:sz w:val="18"/>
                <w:szCs w:val="18"/>
                <w:color w:val="auto"/>
              </w:rPr>
              <w:t>3.0%</w:t>
            </w:r>
          </w:p>
        </w:tc>
        <w:tc>
          <w:tcPr>
            <w:tcW w:w="2080" w:type="dxa"/>
            <w:vAlign w:val="bottom"/>
            <w:shd w:val="clear" w:color="auto" w:fill="E3ECF0"/>
          </w:tcPr>
          <w:p>
            <w:pPr>
              <w:jc w:val="center"/>
              <w:spacing w:after="0" w:line="202" w:lineRule="exact"/>
              <w:rPr>
                <w:sz w:val="20"/>
                <w:szCs w:val="20"/>
                <w:color w:val="auto"/>
              </w:rPr>
            </w:pPr>
            <w:r>
              <w:rPr>
                <w:rFonts w:ascii="Arial" w:cs="Arial" w:eastAsia="Arial" w:hAnsi="Arial"/>
                <w:sz w:val="18"/>
                <w:szCs w:val="18"/>
                <w:color w:val="auto"/>
                <w:w w:val="96"/>
              </w:rPr>
              <w:t>Merit Increase</w:t>
            </w:r>
          </w:p>
        </w:tc>
        <w:tc>
          <w:tcPr>
            <w:tcW w:w="1080" w:type="dxa"/>
            <w:vAlign w:val="bottom"/>
            <w:shd w:val="clear" w:color="auto" w:fill="E3ECF0"/>
          </w:tcPr>
          <w:p>
            <w:pPr>
              <w:jc w:val="right"/>
              <w:ind w:right="152"/>
              <w:spacing w:after="0" w:line="202" w:lineRule="exact"/>
              <w:rPr>
                <w:sz w:val="20"/>
                <w:szCs w:val="20"/>
                <w:color w:val="auto"/>
              </w:rPr>
            </w:pPr>
            <w:r>
              <w:rPr>
                <w:rFonts w:ascii="Arial" w:cs="Arial" w:eastAsia="Arial" w:hAnsi="Arial"/>
                <w:sz w:val="18"/>
                <w:szCs w:val="18"/>
                <w:color w:val="auto"/>
              </w:rPr>
              <w:t>2/1/14</w:t>
            </w:r>
          </w:p>
        </w:tc>
        <w:tc>
          <w:tcPr>
            <w:tcW w:w="440" w:type="dxa"/>
            <w:vAlign w:val="bottom"/>
            <w:shd w:val="clear" w:color="auto" w:fill="E3ECF0"/>
          </w:tcPr>
          <w:p>
            <w:pPr>
              <w:ind w:left="2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3ECF0"/>
          </w:tcPr>
          <w:p>
            <w:pPr>
              <w:jc w:val="right"/>
              <w:ind w:right="232"/>
              <w:spacing w:after="0" w:line="202" w:lineRule="exact"/>
              <w:rPr>
                <w:sz w:val="20"/>
                <w:szCs w:val="20"/>
                <w:color w:val="auto"/>
              </w:rPr>
            </w:pPr>
            <w:r>
              <w:rPr>
                <w:rFonts w:ascii="Arial" w:cs="Arial" w:eastAsia="Arial" w:hAnsi="Arial"/>
                <w:sz w:val="18"/>
                <w:szCs w:val="18"/>
                <w:color w:val="auto"/>
              </w:rPr>
              <w:t>511,300</w:t>
            </w:r>
          </w:p>
        </w:tc>
        <w:tc>
          <w:tcPr>
            <w:tcW w:w="20" w:type="dxa"/>
            <w:vAlign w:val="bottom"/>
          </w:tcPr>
          <w:p>
            <w:pPr>
              <w:spacing w:after="0"/>
              <w:rPr>
                <w:sz w:val="17"/>
                <w:szCs w:val="17"/>
                <w:color w:val="auto"/>
              </w:rPr>
            </w:pPr>
          </w:p>
        </w:tc>
      </w:tr>
      <w:tr>
        <w:trPr>
          <w:trHeight w:val="203"/>
        </w:trPr>
        <w:tc>
          <w:tcPr>
            <w:tcW w:w="2820" w:type="dxa"/>
            <w:vAlign w:val="bottom"/>
          </w:tcPr>
          <w:p>
            <w:pPr>
              <w:ind w:left="120"/>
              <w:spacing w:after="0" w:line="202" w:lineRule="exact"/>
              <w:rPr>
                <w:sz w:val="20"/>
                <w:szCs w:val="20"/>
                <w:color w:val="auto"/>
              </w:rPr>
            </w:pPr>
            <w:r>
              <w:rPr>
                <w:rFonts w:ascii="Arial" w:cs="Arial" w:eastAsia="Arial" w:hAnsi="Arial"/>
                <w:sz w:val="18"/>
                <w:szCs w:val="18"/>
                <w:color w:val="auto"/>
              </w:rPr>
              <w:t>Roselyn R. Bar</w:t>
            </w:r>
          </w:p>
        </w:tc>
        <w:tc>
          <w:tcPr>
            <w:tcW w:w="1280" w:type="dxa"/>
            <w:vAlign w:val="bottom"/>
          </w:tcPr>
          <w:p>
            <w:pPr>
              <w:ind w:left="108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ind w:left="160"/>
              <w:spacing w:after="0" w:line="202" w:lineRule="exact"/>
              <w:rPr>
                <w:sz w:val="20"/>
                <w:szCs w:val="20"/>
                <w:color w:val="auto"/>
              </w:rPr>
            </w:pPr>
            <w:r>
              <w:rPr>
                <w:rFonts w:ascii="Arial" w:cs="Arial" w:eastAsia="Arial" w:hAnsi="Arial"/>
                <w:sz w:val="18"/>
                <w:szCs w:val="18"/>
                <w:color w:val="auto"/>
              </w:rPr>
              <w:t>412,255</w:t>
            </w:r>
          </w:p>
        </w:tc>
        <w:tc>
          <w:tcPr>
            <w:tcW w:w="14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3.0%</w:t>
            </w:r>
          </w:p>
        </w:tc>
        <w:tc>
          <w:tcPr>
            <w:tcW w:w="2080" w:type="dxa"/>
            <w:vAlign w:val="bottom"/>
          </w:tcPr>
          <w:p>
            <w:pPr>
              <w:jc w:val="center"/>
              <w:spacing w:after="0" w:line="202" w:lineRule="exact"/>
              <w:rPr>
                <w:sz w:val="20"/>
                <w:szCs w:val="20"/>
                <w:color w:val="auto"/>
              </w:rPr>
            </w:pPr>
            <w:r>
              <w:rPr>
                <w:rFonts w:ascii="Arial" w:cs="Arial" w:eastAsia="Arial" w:hAnsi="Arial"/>
                <w:sz w:val="18"/>
                <w:szCs w:val="18"/>
                <w:color w:val="auto"/>
                <w:w w:val="96"/>
              </w:rPr>
              <w:t>Merit Increase</w:t>
            </w:r>
          </w:p>
        </w:tc>
        <w:tc>
          <w:tcPr>
            <w:tcW w:w="10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2/1/14</w:t>
            </w:r>
          </w:p>
        </w:tc>
        <w:tc>
          <w:tcPr>
            <w:tcW w:w="44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426,700</w:t>
            </w:r>
          </w:p>
        </w:tc>
        <w:tc>
          <w:tcPr>
            <w:tcW w:w="20" w:type="dxa"/>
            <w:vAlign w:val="bottom"/>
          </w:tcPr>
          <w:p>
            <w:pPr>
              <w:spacing w:after="0"/>
              <w:rPr>
                <w:sz w:val="17"/>
                <w:szCs w:val="17"/>
                <w:color w:val="auto"/>
              </w:rPr>
            </w:pPr>
          </w:p>
        </w:tc>
      </w:tr>
      <w:tr>
        <w:trPr>
          <w:trHeight w:val="203"/>
        </w:trPr>
        <w:tc>
          <w:tcPr>
            <w:tcW w:w="2820" w:type="dxa"/>
            <w:vAlign w:val="bottom"/>
            <w:shd w:val="clear" w:color="auto" w:fill="E3ECF0"/>
          </w:tcPr>
          <w:p>
            <w:pPr>
              <w:ind w:left="120"/>
              <w:spacing w:after="0" w:line="202" w:lineRule="exact"/>
              <w:rPr>
                <w:sz w:val="20"/>
                <w:szCs w:val="20"/>
                <w:color w:val="auto"/>
              </w:rPr>
            </w:pPr>
            <w:r>
              <w:rPr>
                <w:rFonts w:ascii="Arial" w:cs="Arial" w:eastAsia="Arial" w:hAnsi="Arial"/>
                <w:sz w:val="18"/>
                <w:szCs w:val="18"/>
                <w:color w:val="auto"/>
              </w:rPr>
              <w:t>Donald A. McCunniff</w:t>
            </w:r>
          </w:p>
        </w:tc>
        <w:tc>
          <w:tcPr>
            <w:tcW w:w="1280" w:type="dxa"/>
            <w:vAlign w:val="bottom"/>
            <w:shd w:val="clear" w:color="auto" w:fill="E3ECF0"/>
          </w:tcPr>
          <w:p>
            <w:pPr>
              <w:ind w:left="108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3ECF0"/>
          </w:tcPr>
          <w:p>
            <w:pPr>
              <w:ind w:left="160"/>
              <w:spacing w:after="0" w:line="202" w:lineRule="exact"/>
              <w:rPr>
                <w:sz w:val="20"/>
                <w:szCs w:val="20"/>
                <w:color w:val="auto"/>
              </w:rPr>
            </w:pPr>
            <w:r>
              <w:rPr>
                <w:rFonts w:ascii="Arial" w:cs="Arial" w:eastAsia="Arial" w:hAnsi="Arial"/>
                <w:sz w:val="18"/>
                <w:szCs w:val="18"/>
                <w:color w:val="auto"/>
              </w:rPr>
              <w:t>345,500</w:t>
            </w:r>
          </w:p>
        </w:tc>
        <w:tc>
          <w:tcPr>
            <w:tcW w:w="1480" w:type="dxa"/>
            <w:vAlign w:val="bottom"/>
            <w:shd w:val="clear" w:color="auto" w:fill="E3ECF0"/>
          </w:tcPr>
          <w:p>
            <w:pPr>
              <w:jc w:val="right"/>
              <w:ind w:right="92"/>
              <w:spacing w:after="0" w:line="202" w:lineRule="exact"/>
              <w:rPr>
                <w:sz w:val="20"/>
                <w:szCs w:val="20"/>
                <w:color w:val="auto"/>
              </w:rPr>
            </w:pPr>
            <w:r>
              <w:rPr>
                <w:rFonts w:ascii="Arial" w:cs="Arial" w:eastAsia="Arial" w:hAnsi="Arial"/>
                <w:sz w:val="18"/>
                <w:szCs w:val="18"/>
                <w:color w:val="auto"/>
              </w:rPr>
              <w:t>3.0%</w:t>
            </w:r>
          </w:p>
        </w:tc>
        <w:tc>
          <w:tcPr>
            <w:tcW w:w="2080" w:type="dxa"/>
            <w:vAlign w:val="bottom"/>
            <w:shd w:val="clear" w:color="auto" w:fill="E3ECF0"/>
          </w:tcPr>
          <w:p>
            <w:pPr>
              <w:jc w:val="center"/>
              <w:spacing w:after="0" w:line="202" w:lineRule="exact"/>
              <w:rPr>
                <w:sz w:val="20"/>
                <w:szCs w:val="20"/>
                <w:color w:val="auto"/>
              </w:rPr>
            </w:pPr>
            <w:r>
              <w:rPr>
                <w:rFonts w:ascii="Arial" w:cs="Arial" w:eastAsia="Arial" w:hAnsi="Arial"/>
                <w:sz w:val="18"/>
                <w:szCs w:val="18"/>
                <w:color w:val="auto"/>
                <w:w w:val="96"/>
              </w:rPr>
              <w:t>Merit Increase</w:t>
            </w:r>
          </w:p>
        </w:tc>
        <w:tc>
          <w:tcPr>
            <w:tcW w:w="1080" w:type="dxa"/>
            <w:vAlign w:val="bottom"/>
            <w:shd w:val="clear" w:color="auto" w:fill="E3ECF0"/>
          </w:tcPr>
          <w:p>
            <w:pPr>
              <w:jc w:val="right"/>
              <w:ind w:right="152"/>
              <w:spacing w:after="0" w:line="202" w:lineRule="exact"/>
              <w:rPr>
                <w:sz w:val="20"/>
                <w:szCs w:val="20"/>
                <w:color w:val="auto"/>
              </w:rPr>
            </w:pPr>
            <w:r>
              <w:rPr>
                <w:rFonts w:ascii="Arial" w:cs="Arial" w:eastAsia="Arial" w:hAnsi="Arial"/>
                <w:sz w:val="18"/>
                <w:szCs w:val="18"/>
                <w:color w:val="auto"/>
              </w:rPr>
              <w:t>2/1/14</w:t>
            </w:r>
          </w:p>
        </w:tc>
        <w:tc>
          <w:tcPr>
            <w:tcW w:w="440" w:type="dxa"/>
            <w:vAlign w:val="bottom"/>
            <w:shd w:val="clear" w:color="auto" w:fill="E3ECF0"/>
          </w:tcPr>
          <w:p>
            <w:pPr>
              <w:ind w:left="2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3ECF0"/>
          </w:tcPr>
          <w:p>
            <w:pPr>
              <w:jc w:val="right"/>
              <w:ind w:right="232"/>
              <w:spacing w:after="0" w:line="202" w:lineRule="exact"/>
              <w:rPr>
                <w:sz w:val="20"/>
                <w:szCs w:val="20"/>
                <w:color w:val="auto"/>
              </w:rPr>
            </w:pPr>
            <w:r>
              <w:rPr>
                <w:rFonts w:ascii="Arial" w:cs="Arial" w:eastAsia="Arial" w:hAnsi="Arial"/>
                <w:sz w:val="18"/>
                <w:szCs w:val="18"/>
                <w:color w:val="auto"/>
              </w:rPr>
              <w:t>349,800</w:t>
            </w:r>
          </w:p>
        </w:tc>
        <w:tc>
          <w:tcPr>
            <w:tcW w:w="20" w:type="dxa"/>
            <w:vAlign w:val="bottom"/>
          </w:tcPr>
          <w:p>
            <w:pPr>
              <w:spacing w:after="0"/>
              <w:rPr>
                <w:sz w:val="17"/>
                <w:szCs w:val="17"/>
                <w:color w:val="auto"/>
              </w:rPr>
            </w:pPr>
          </w:p>
        </w:tc>
      </w:tr>
      <w:tr>
        <w:trPr>
          <w:trHeight w:val="214"/>
        </w:trPr>
        <w:tc>
          <w:tcPr>
            <w:tcW w:w="2820" w:type="dxa"/>
            <w:vAlign w:val="bottom"/>
          </w:tcPr>
          <w:p>
            <w:pPr>
              <w:ind w:left="120"/>
              <w:spacing w:after="0"/>
              <w:rPr>
                <w:sz w:val="20"/>
                <w:szCs w:val="20"/>
                <w:color w:val="auto"/>
              </w:rPr>
            </w:pPr>
            <w:r>
              <w:rPr>
                <w:rFonts w:ascii="Arial" w:cs="Arial" w:eastAsia="Arial" w:hAnsi="Arial"/>
                <w:sz w:val="18"/>
                <w:szCs w:val="18"/>
                <w:color w:val="auto"/>
              </w:rPr>
              <w:t>Daniel L. Grant</w:t>
            </w:r>
          </w:p>
        </w:tc>
        <w:tc>
          <w:tcPr>
            <w:tcW w:w="1280" w:type="dxa"/>
            <w:vAlign w:val="bottom"/>
          </w:tcPr>
          <w:p>
            <w:pPr>
              <w:ind w:left="1080"/>
              <w:spacing w:after="0"/>
              <w:rPr>
                <w:sz w:val="20"/>
                <w:szCs w:val="20"/>
                <w:color w:val="auto"/>
              </w:rPr>
            </w:pPr>
            <w:r>
              <w:rPr>
                <w:rFonts w:ascii="Arial" w:cs="Arial" w:eastAsia="Arial" w:hAnsi="Arial"/>
                <w:sz w:val="18"/>
                <w:szCs w:val="18"/>
                <w:color w:val="auto"/>
              </w:rPr>
              <w:t>$</w:t>
            </w:r>
          </w:p>
        </w:tc>
        <w:tc>
          <w:tcPr>
            <w:tcW w:w="1120" w:type="dxa"/>
            <w:vAlign w:val="bottom"/>
          </w:tcPr>
          <w:p>
            <w:pPr>
              <w:ind w:left="160"/>
              <w:spacing w:after="0"/>
              <w:rPr>
                <w:sz w:val="20"/>
                <w:szCs w:val="20"/>
                <w:color w:val="auto"/>
              </w:rPr>
            </w:pPr>
            <w:r>
              <w:rPr>
                <w:rFonts w:ascii="Arial" w:cs="Arial" w:eastAsia="Arial" w:hAnsi="Arial"/>
                <w:sz w:val="18"/>
                <w:szCs w:val="18"/>
                <w:color w:val="auto"/>
              </w:rPr>
              <w:t>325,000</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3.3%</w:t>
            </w:r>
          </w:p>
        </w:tc>
        <w:tc>
          <w:tcPr>
            <w:tcW w:w="2080" w:type="dxa"/>
            <w:vAlign w:val="bottom"/>
          </w:tcPr>
          <w:p>
            <w:pPr>
              <w:jc w:val="center"/>
              <w:spacing w:after="0"/>
              <w:rPr>
                <w:sz w:val="20"/>
                <w:szCs w:val="20"/>
                <w:color w:val="auto"/>
              </w:rPr>
            </w:pPr>
            <w:r>
              <w:rPr>
                <w:rFonts w:ascii="Arial" w:cs="Arial" w:eastAsia="Arial" w:hAnsi="Arial"/>
                <w:sz w:val="18"/>
                <w:szCs w:val="18"/>
                <w:color w:val="auto"/>
                <w:w w:val="96"/>
              </w:rPr>
              <w:t>Merit Increase</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2/1/14</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329,000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-786765</wp:posOffset>
            </wp:positionV>
            <wp:extent cx="7254875" cy="7886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788670"/>
                    </a:xfrm>
                    <a:prstGeom prst="rect">
                      <a:avLst/>
                    </a:prstGeom>
                    <a:noFill/>
                  </pic:spPr>
                </pic:pic>
              </a:graphicData>
            </a:graphic>
          </wp:anchor>
        </w:drawing>
      </w:r>
    </w:p>
    <w:p>
      <w:pPr>
        <w:ind w:left="120" w:right="140" w:hanging="112"/>
        <w:spacing w:after="0" w:line="228" w:lineRule="auto"/>
        <w:tabs>
          <w:tab w:leader="none" w:pos="1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August 2013, the Committee determined that it would award merit increases for all executive officers at its regularly-scheduled January meeting each year rather than on the anniversary date of each executive’s employment commencement date, which was the previous practice. The actual increase was prorated based on the preceding base salary increase date for each executive officer.</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**Basesalary as of February 1, 2014.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Incentive: Executive Incentive Plan</w:t>
      </w:r>
    </w:p>
    <w:p>
      <w:pPr>
        <w:spacing w:after="0" w:line="18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NEOs and other executives are eligible to earn annual bonuses under our Executive Incentive Plan based on the achievement of various performance metrics. Individual NEO targets (as a percent of base salary) are approved by the Committee at the beginning of the year based on a review of competitive market data.</w:t>
      </w:r>
    </w:p>
    <w:p>
      <w:pPr>
        <w:spacing w:after="0" w:line="154"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Actual cash bonuses may range from 0% to 150% of each individual’s target, which is determined based on compensation peer data and internal pay equity. The Committee awards annual cash bonuses based on corporate performance objectives and the achievement of individualized targeted goals. This furthers Martin Marietta’s compensation philosophy in that it encourages superior performance and rewards the achievement of Martin Marietta’s annual goals. In 2014, all of the executive officers participated in the plan, except for Mr. Nye, for whom bonus compensation was awarded outside of the plan. The annual bonus level for 2014 for the NEOs was in the range of 92-95% of target.</w:t>
      </w:r>
    </w:p>
    <w:p>
      <w:pPr>
        <w:spacing w:after="0" w:line="15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 xml:space="preserve">In determining the incentive payments, the Committee first reviews the achievements of Martin Marietta for the past year as compared to its targeted goals set at the end of the previous year. The factors that the Committee took into account in determining Martin Marietta’s performance in 2014 include those listed above under </w:t>
      </w:r>
      <w:r>
        <w:rPr>
          <w:rFonts w:ascii="Arial" w:cs="Arial" w:eastAsia="Arial" w:hAnsi="Arial"/>
          <w:sz w:val="18"/>
          <w:szCs w:val="18"/>
          <w:b w:val="1"/>
          <w:bCs w:val="1"/>
          <w:i w:val="1"/>
          <w:iCs w:val="1"/>
          <w:u w:val="single" w:color="auto"/>
          <w:color w:val="auto"/>
        </w:rPr>
        <w:t>Executive Summary</w:t>
      </w:r>
      <w:r>
        <w:rPr>
          <w:rFonts w:ascii="Arial" w:cs="Arial" w:eastAsia="Arial" w:hAnsi="Arial"/>
          <w:sz w:val="18"/>
          <w:szCs w:val="18"/>
          <w:color w:val="auto"/>
        </w:rPr>
        <w:t xml:space="preserve"> on pages 26 to 27. The Committee also considered:</w:t>
      </w:r>
    </w:p>
    <w:p>
      <w:pPr>
        <w:spacing w:after="0" w:line="195"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detailed assessment of Martin Marietta’s overall financial performance and each segment’s financial performance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Martin Marietta’s continuing successful cost management and automation initiatives in a challenging economic environment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safety performance improvement in total case incident rate over the prior year’s record low rate</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40"/>
          </w:cols>
          <w:pgMar w:left="240" w:top="291" w:right="219" w:bottom="1440" w:gutter="0" w:footer="0" w:header="0"/>
        </w:sectPr>
      </w:pPr>
    </w:p>
    <w:bookmarkStart w:id="38" w:name="page39"/>
    <w:bookmarkEnd w:id="38"/>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 environmental and regulatory compliance results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Continuing achievement of excellent management of working capital</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successful organic and inorganic growth of Martin Marietta</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Committee also considered shareholder returns. In this regard, another indication of the executive officers’ performance is the consistent delivery of value to Martin Marietta’s shareholders, despite the extraordinary recession that severely impacted the Company and the construction materials industry,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121285</wp:posOffset>
            </wp:positionV>
            <wp:extent cx="4536440" cy="2752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536440"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Committee then conducts a comparative review of the individual contributions of each of the executive officers towards achieving these goals. The Committee also considers qualitative measures of performance for the executive officers, such as adherence to and implementation of Martin Marietta’s </w:t>
      </w:r>
      <w:r>
        <w:rPr>
          <w:rFonts w:ascii="Arial" w:cs="Arial" w:eastAsia="Arial" w:hAnsi="Arial"/>
          <w:sz w:val="18"/>
          <w:szCs w:val="18"/>
          <w:i w:val="1"/>
          <w:iCs w:val="1"/>
          <w:color w:val="auto"/>
        </w:rPr>
        <w:t>Code of Ethical Business Conduct</w:t>
      </w:r>
      <w:r>
        <w:rPr>
          <w:rFonts w:ascii="Arial" w:cs="Arial" w:eastAsia="Arial" w:hAnsi="Arial"/>
          <w:sz w:val="18"/>
          <w:szCs w:val="18"/>
          <w:color w:val="auto"/>
        </w:rPr>
        <w:t>, safety, customer satisfaction, and product quality.</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Key individual performance criteria are established for each NEO, which are intended to drive strategic and support operational results in the Company and the functional groups. These performance metrics are established at the beginning of each plan year and are based upon Martin Marietta’s Long Range Operating Plan, which is set at the end of the previous year. For executives in corporate staff positions, 50% of the determination is made with respect to Martin Marietta’s performance and 50% is based on the individual’s performance against established objectives. Similar to the Committee’s assessment of financial goals, the Committee’s assessment of individual performance goals generally excludes certain non-recurring or extraordinary items. We do not disclose specific individual performance goals due to the potential for competitive harm. Our targeted individual goals are “stretch but reasonable.”</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individualized target goals are tailored for each executive, his or her specific areas of responsibility and the then-current and longer term goals of Martin Marietta. In addition, achievement of the goals typically is in part dependent on conditions outside the control of each of the named executive officer. For example, we have a strong focus on safety in our Company. Regardless of the achievement of other targets, incentive awards are reduced for all employees in the event of any serious workplace safety incident in Martin Marietta. Similarly, our business may be adversely affected by hurricanes or other weather-related conditions, which could have the result of impeding the achievement of certain performance-based goals.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Although there is substantial uncertainty with respect to achieving the target levels at the time the goals are set and communicated, our named executive officers have a reasonable expectation of receiving a cash incentive award at a level that is near their target level. However, the “stretch” levels remain extremely difficult to obtain and the maximum cash award level has not been achieved in prior periods.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9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2014 CEO Annual Incentive Award Earned</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CEO does not participate in Martin Marietta’s Executive Incentive Plan and his bonus, if any, is determined at the discretion of the Committee, based on the performance factors discussed above for 2014, including:</w:t>
      </w:r>
    </w:p>
    <w:p>
      <w:pPr>
        <w:spacing w:after="0" w:line="195"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Revenue growth, including from heritage operations only (without regard to the TXI acquisition)</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Gross profit margin expansion</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EBITDA growth</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EPS growth</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SG&amp;A improvement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Safety and regulatory compliance record</w:t>
      </w:r>
    </w:p>
    <w:p>
      <w:pPr>
        <w:spacing w:after="0" w:line="15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Generally, Mr. Nye’s bonus level is approximately 100% of his base salary although there is no specific target for the CEO’s bonus. The Committee did not attempt to set Mr. Nye’s 2014 bonus in any particular relationship to peer compensation survey data but did consider those factors. The Committee awarded him an annual incentive bonus of $850,000 for 2014, which was 91.5% of his base salary, after considering many diverse factors, including the advice of Aon Hewitt. Consistent with its compensation philosophy that focuses on long-term performance, the Committee considers whether there are factors in addition to quantitative ones that should be taken into account in establishing the overall level of Mr. Nye’s compensation. In this regard, the Committee considered accomplishments that benefit shareholders in the longer term. In subjectively determining the amount of Mr. Nye’s bonus for 2014, the Committee took into account the same type of objective performance measures and qualitative measures, such as the effectiveness and quality of Mr. Nye’s leadership of Martin Marietta, as it considered for executive officers who receive awards under the plan.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Actual Incentive Cash Earned</w:t>
      </w:r>
    </w:p>
    <w:p>
      <w:pPr>
        <w:spacing w:after="0" w:line="18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Based on the previous table showing the approved performance achievement levels and the percentage of target earned, the table below summarizes the targets for 2014 and annual incentive award earned by each NEO:</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shd w:val="clear" w:color="auto" w:fill="47829E"/>
          </w:tcPr>
          <w:p>
            <w:pPr>
              <w:spacing w:after="0"/>
              <w:rPr>
                <w:sz w:val="17"/>
                <w:szCs w:val="17"/>
                <w:color w:val="auto"/>
              </w:rPr>
            </w:pPr>
          </w:p>
        </w:tc>
        <w:tc>
          <w:tcPr>
            <w:tcW w:w="3720" w:type="dxa"/>
            <w:vAlign w:val="bottom"/>
            <w:shd w:val="clear" w:color="auto" w:fill="47829E"/>
          </w:tcPr>
          <w:p>
            <w:pPr>
              <w:jc w:val="right"/>
              <w:ind w:right="592"/>
              <w:spacing w:after="0"/>
              <w:rPr>
                <w:sz w:val="20"/>
                <w:szCs w:val="20"/>
                <w:color w:val="auto"/>
              </w:rPr>
            </w:pPr>
            <w:r>
              <w:rPr>
                <w:rFonts w:ascii="Arial" w:cs="Arial" w:eastAsia="Arial" w:hAnsi="Arial"/>
                <w:sz w:val="18"/>
                <w:szCs w:val="18"/>
                <w:b w:val="1"/>
                <w:bCs w:val="1"/>
                <w:color w:val="FFFFFF"/>
              </w:rPr>
              <w:t>Target Annual Incentive</w:t>
            </w:r>
          </w:p>
        </w:tc>
        <w:tc>
          <w:tcPr>
            <w:tcW w:w="600" w:type="dxa"/>
            <w:vAlign w:val="bottom"/>
            <w:shd w:val="clear" w:color="auto" w:fill="47829E"/>
          </w:tcPr>
          <w:p>
            <w:pPr>
              <w:spacing w:after="0"/>
              <w:rPr>
                <w:sz w:val="17"/>
                <w:szCs w:val="17"/>
                <w:color w:val="auto"/>
              </w:rPr>
            </w:pPr>
          </w:p>
        </w:tc>
        <w:tc>
          <w:tcPr>
            <w:tcW w:w="1780" w:type="dxa"/>
            <w:vAlign w:val="bottom"/>
            <w:shd w:val="clear" w:color="auto" w:fill="47829E"/>
          </w:tcPr>
          <w:p>
            <w:pPr>
              <w:jc w:val="right"/>
              <w:ind w:right="672"/>
              <w:spacing w:after="0"/>
              <w:rPr>
                <w:sz w:val="20"/>
                <w:szCs w:val="20"/>
                <w:color w:val="auto"/>
              </w:rPr>
            </w:pPr>
            <w:r>
              <w:rPr>
                <w:rFonts w:ascii="Arial" w:cs="Arial" w:eastAsia="Arial" w:hAnsi="Arial"/>
                <w:sz w:val="18"/>
                <w:szCs w:val="18"/>
                <w:b w:val="1"/>
                <w:bCs w:val="1"/>
                <w:color w:val="FFFFFF"/>
                <w:w w:val="99"/>
              </w:rPr>
              <w:t>2014 Target</w:t>
            </w:r>
          </w:p>
        </w:tc>
        <w:tc>
          <w:tcPr>
            <w:tcW w:w="680" w:type="dxa"/>
            <w:vAlign w:val="bottom"/>
            <w:shd w:val="clear" w:color="auto" w:fill="47829E"/>
          </w:tcPr>
          <w:p>
            <w:pPr>
              <w:spacing w:after="0"/>
              <w:rPr>
                <w:sz w:val="17"/>
                <w:szCs w:val="17"/>
                <w:color w:val="auto"/>
              </w:rPr>
            </w:pPr>
          </w:p>
        </w:tc>
        <w:tc>
          <w:tcPr>
            <w:tcW w:w="1820" w:type="dxa"/>
            <w:vAlign w:val="bottom"/>
            <w:shd w:val="clear" w:color="auto" w:fill="47829E"/>
          </w:tcPr>
          <w:p>
            <w:pPr>
              <w:jc w:val="right"/>
              <w:ind w:right="712"/>
              <w:spacing w:after="0"/>
              <w:rPr>
                <w:sz w:val="20"/>
                <w:szCs w:val="20"/>
                <w:color w:val="auto"/>
              </w:rPr>
            </w:pPr>
            <w:r>
              <w:rPr>
                <w:rFonts w:ascii="Arial" w:cs="Arial" w:eastAsia="Arial" w:hAnsi="Arial"/>
                <w:sz w:val="18"/>
                <w:szCs w:val="18"/>
                <w:b w:val="1"/>
                <w:bCs w:val="1"/>
                <w:color w:val="FFFFFF"/>
                <w:w w:val="99"/>
              </w:rPr>
              <w:t>2014 Actual</w:t>
            </w:r>
          </w:p>
        </w:tc>
        <w:tc>
          <w:tcPr>
            <w:tcW w:w="20" w:type="dxa"/>
            <w:vAlign w:val="bottom"/>
            <w:shd w:val="clear" w:color="auto" w:fill="47829E"/>
          </w:tcPr>
          <w:p>
            <w:pPr>
              <w:spacing w:after="0"/>
              <w:rPr>
                <w:sz w:val="17"/>
                <w:szCs w:val="17"/>
                <w:color w:val="auto"/>
              </w:rPr>
            </w:pPr>
          </w:p>
        </w:tc>
      </w:tr>
      <w:tr>
        <w:trPr>
          <w:trHeight w:val="235"/>
        </w:trPr>
        <w:tc>
          <w:tcPr>
            <w:tcW w:w="2820" w:type="dxa"/>
            <w:vAlign w:val="bottom"/>
            <w:shd w:val="clear" w:color="auto" w:fill="47829E"/>
          </w:tcPr>
          <w:p>
            <w:pPr>
              <w:ind w:left="120"/>
              <w:spacing w:after="0"/>
              <w:rPr>
                <w:sz w:val="20"/>
                <w:szCs w:val="20"/>
                <w:color w:val="auto"/>
              </w:rPr>
            </w:pPr>
            <w:r>
              <w:rPr>
                <w:rFonts w:ascii="Arial" w:cs="Arial" w:eastAsia="Arial" w:hAnsi="Arial"/>
                <w:sz w:val="18"/>
                <w:szCs w:val="18"/>
                <w:b w:val="1"/>
                <w:bCs w:val="1"/>
                <w:color w:val="FFFFFF"/>
              </w:rPr>
              <w:t>NEO</w:t>
            </w:r>
          </w:p>
        </w:tc>
        <w:tc>
          <w:tcPr>
            <w:tcW w:w="3720" w:type="dxa"/>
            <w:vAlign w:val="bottom"/>
            <w:shd w:val="clear" w:color="auto" w:fill="47829E"/>
          </w:tcPr>
          <w:p>
            <w:pPr>
              <w:jc w:val="right"/>
              <w:ind w:right="732"/>
              <w:spacing w:after="0"/>
              <w:rPr>
                <w:sz w:val="20"/>
                <w:szCs w:val="20"/>
                <w:color w:val="auto"/>
              </w:rPr>
            </w:pPr>
            <w:r>
              <w:rPr>
                <w:rFonts w:ascii="Arial" w:cs="Arial" w:eastAsia="Arial" w:hAnsi="Arial"/>
                <w:sz w:val="18"/>
                <w:szCs w:val="18"/>
                <w:b w:val="1"/>
                <w:bCs w:val="1"/>
                <w:color w:val="FFFFFF"/>
              </w:rPr>
              <w:t>Bonus (% of Salary)</w:t>
            </w:r>
          </w:p>
        </w:tc>
        <w:tc>
          <w:tcPr>
            <w:tcW w:w="2380" w:type="dxa"/>
            <w:vAlign w:val="bottom"/>
            <w:gridSpan w:val="2"/>
            <w:shd w:val="clear" w:color="auto" w:fill="47829E"/>
          </w:tcPr>
          <w:p>
            <w:pPr>
              <w:ind w:left="440"/>
              <w:spacing w:after="0"/>
              <w:rPr>
                <w:sz w:val="20"/>
                <w:szCs w:val="20"/>
                <w:color w:val="auto"/>
              </w:rPr>
            </w:pPr>
            <w:r>
              <w:rPr>
                <w:rFonts w:ascii="Arial" w:cs="Arial" w:eastAsia="Arial" w:hAnsi="Arial"/>
                <w:sz w:val="18"/>
                <w:szCs w:val="18"/>
                <w:b w:val="1"/>
                <w:bCs w:val="1"/>
                <w:color w:val="FFFFFF"/>
              </w:rPr>
              <w:t>Annual Incentive</w:t>
            </w:r>
          </w:p>
        </w:tc>
        <w:tc>
          <w:tcPr>
            <w:tcW w:w="2500" w:type="dxa"/>
            <w:vAlign w:val="bottom"/>
            <w:gridSpan w:val="2"/>
            <w:shd w:val="clear" w:color="auto" w:fill="47829E"/>
          </w:tcPr>
          <w:p>
            <w:pPr>
              <w:ind w:left="520"/>
              <w:spacing w:after="0"/>
              <w:rPr>
                <w:sz w:val="20"/>
                <w:szCs w:val="20"/>
                <w:color w:val="auto"/>
              </w:rPr>
            </w:pPr>
            <w:r>
              <w:rPr>
                <w:rFonts w:ascii="Arial" w:cs="Arial" w:eastAsia="Arial" w:hAnsi="Arial"/>
                <w:sz w:val="18"/>
                <w:szCs w:val="18"/>
                <w:b w:val="1"/>
                <w:bCs w:val="1"/>
                <w:color w:val="FFFFFF"/>
              </w:rPr>
              <w:t>Annual Incentive</w:t>
            </w:r>
          </w:p>
        </w:tc>
        <w:tc>
          <w:tcPr>
            <w:tcW w:w="20" w:type="dxa"/>
            <w:vAlign w:val="bottom"/>
            <w:shd w:val="clear" w:color="auto" w:fill="47829E"/>
          </w:tcPr>
          <w:p>
            <w:pPr>
              <w:spacing w:after="0"/>
              <w:rPr>
                <w:sz w:val="20"/>
                <w:szCs w:val="20"/>
                <w:color w:val="auto"/>
              </w:rPr>
            </w:pPr>
          </w:p>
        </w:tc>
      </w:tr>
      <w:tr>
        <w:trPr>
          <w:trHeight w:val="203"/>
        </w:trPr>
        <w:tc>
          <w:tcPr>
            <w:tcW w:w="2820" w:type="dxa"/>
            <w:vAlign w:val="bottom"/>
          </w:tcPr>
          <w:p>
            <w:pPr>
              <w:ind w:left="120"/>
              <w:spacing w:after="0" w:line="202" w:lineRule="exact"/>
              <w:rPr>
                <w:sz w:val="20"/>
                <w:szCs w:val="20"/>
                <w:color w:val="auto"/>
              </w:rPr>
            </w:pPr>
            <w:r>
              <w:rPr>
                <w:rFonts w:ascii="Arial" w:cs="Arial" w:eastAsia="Arial" w:hAnsi="Arial"/>
                <w:sz w:val="18"/>
                <w:szCs w:val="18"/>
                <w:color w:val="auto"/>
              </w:rPr>
              <w:t>C. Howard Nye*</w:t>
            </w:r>
          </w:p>
        </w:tc>
        <w:tc>
          <w:tcPr>
            <w:tcW w:w="372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100%*</w:t>
            </w:r>
          </w:p>
        </w:tc>
        <w:tc>
          <w:tcPr>
            <w:tcW w:w="60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928,750</w:t>
            </w:r>
          </w:p>
        </w:tc>
        <w:tc>
          <w:tcPr>
            <w:tcW w:w="68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ind w:right="472"/>
              <w:spacing w:after="0" w:line="202" w:lineRule="exact"/>
              <w:rPr>
                <w:sz w:val="20"/>
                <w:szCs w:val="20"/>
                <w:color w:val="auto"/>
              </w:rPr>
            </w:pPr>
            <w:r>
              <w:rPr>
                <w:rFonts w:ascii="Arial" w:cs="Arial" w:eastAsia="Arial" w:hAnsi="Arial"/>
                <w:sz w:val="18"/>
                <w:szCs w:val="18"/>
                <w:color w:val="auto"/>
              </w:rPr>
              <w:t>850,000</w:t>
            </w:r>
          </w:p>
        </w:tc>
        <w:tc>
          <w:tcPr>
            <w:tcW w:w="20" w:type="dxa"/>
            <w:vAlign w:val="bottom"/>
          </w:tcPr>
          <w:p>
            <w:pPr>
              <w:spacing w:after="0"/>
              <w:rPr>
                <w:sz w:val="17"/>
                <w:szCs w:val="17"/>
                <w:color w:val="auto"/>
              </w:rPr>
            </w:pPr>
          </w:p>
        </w:tc>
      </w:tr>
      <w:tr>
        <w:trPr>
          <w:trHeight w:val="203"/>
        </w:trPr>
        <w:tc>
          <w:tcPr>
            <w:tcW w:w="2820" w:type="dxa"/>
            <w:vAlign w:val="bottom"/>
            <w:shd w:val="clear" w:color="auto" w:fill="E3ECF0"/>
          </w:tcPr>
          <w:p>
            <w:pPr>
              <w:ind w:left="120"/>
              <w:spacing w:after="0" w:line="202" w:lineRule="exact"/>
              <w:rPr>
                <w:sz w:val="20"/>
                <w:szCs w:val="20"/>
                <w:color w:val="auto"/>
              </w:rPr>
            </w:pPr>
            <w:r>
              <w:rPr>
                <w:rFonts w:ascii="Arial" w:cs="Arial" w:eastAsia="Arial" w:hAnsi="Arial"/>
                <w:sz w:val="18"/>
                <w:szCs w:val="18"/>
                <w:color w:val="auto"/>
              </w:rPr>
              <w:t>Anne H. Lloyd</w:t>
            </w:r>
          </w:p>
        </w:tc>
        <w:tc>
          <w:tcPr>
            <w:tcW w:w="3720" w:type="dxa"/>
            <w:vAlign w:val="bottom"/>
            <w:shd w:val="clear" w:color="auto" w:fill="E3ECF0"/>
          </w:tcPr>
          <w:p>
            <w:pPr>
              <w:jc w:val="right"/>
              <w:ind w:right="432"/>
              <w:spacing w:after="0" w:line="202" w:lineRule="exact"/>
              <w:rPr>
                <w:sz w:val="20"/>
                <w:szCs w:val="20"/>
                <w:color w:val="auto"/>
              </w:rPr>
            </w:pPr>
            <w:r>
              <w:rPr>
                <w:rFonts w:ascii="Arial" w:cs="Arial" w:eastAsia="Arial" w:hAnsi="Arial"/>
                <w:sz w:val="18"/>
                <w:szCs w:val="18"/>
                <w:color w:val="auto"/>
              </w:rPr>
              <w:t>80%</w:t>
            </w:r>
          </w:p>
        </w:tc>
        <w:tc>
          <w:tcPr>
            <w:tcW w:w="600" w:type="dxa"/>
            <w:vAlign w:val="bottom"/>
            <w:shd w:val="clear" w:color="auto" w:fill="E3ECF0"/>
          </w:tcPr>
          <w:p>
            <w:pPr>
              <w:ind w:left="440"/>
              <w:spacing w:after="0" w:line="202" w:lineRule="exact"/>
              <w:rPr>
                <w:sz w:val="20"/>
                <w:szCs w:val="20"/>
                <w:color w:val="auto"/>
              </w:rPr>
            </w:pPr>
            <w:r>
              <w:rPr>
                <w:rFonts w:ascii="Arial" w:cs="Arial" w:eastAsia="Arial" w:hAnsi="Arial"/>
                <w:sz w:val="18"/>
                <w:szCs w:val="18"/>
                <w:color w:val="auto"/>
              </w:rPr>
              <w:t>$</w:t>
            </w:r>
          </w:p>
        </w:tc>
        <w:tc>
          <w:tcPr>
            <w:tcW w:w="1780" w:type="dxa"/>
            <w:vAlign w:val="bottom"/>
            <w:shd w:val="clear" w:color="auto" w:fill="E3ECF0"/>
          </w:tcPr>
          <w:p>
            <w:pPr>
              <w:jc w:val="right"/>
              <w:ind w:right="432"/>
              <w:spacing w:after="0" w:line="202" w:lineRule="exact"/>
              <w:rPr>
                <w:sz w:val="20"/>
                <w:szCs w:val="20"/>
                <w:color w:val="auto"/>
              </w:rPr>
            </w:pPr>
            <w:r>
              <w:rPr>
                <w:rFonts w:ascii="Arial" w:cs="Arial" w:eastAsia="Arial" w:hAnsi="Arial"/>
                <w:sz w:val="18"/>
                <w:szCs w:val="18"/>
                <w:color w:val="auto"/>
              </w:rPr>
              <w:t>408,620</w:t>
            </w:r>
          </w:p>
        </w:tc>
        <w:tc>
          <w:tcPr>
            <w:tcW w:w="680" w:type="dxa"/>
            <w:vAlign w:val="bottom"/>
            <w:shd w:val="clear" w:color="auto" w:fill="E3ECF0"/>
          </w:tcPr>
          <w:p>
            <w:pPr>
              <w:ind w:left="520"/>
              <w:spacing w:after="0" w:line="202" w:lineRule="exact"/>
              <w:rPr>
                <w:sz w:val="20"/>
                <w:szCs w:val="20"/>
                <w:color w:val="auto"/>
              </w:rPr>
            </w:pPr>
            <w:r>
              <w:rPr>
                <w:rFonts w:ascii="Arial" w:cs="Arial" w:eastAsia="Arial" w:hAnsi="Arial"/>
                <w:sz w:val="18"/>
                <w:szCs w:val="18"/>
                <w:color w:val="auto"/>
              </w:rPr>
              <w:t>$</w:t>
            </w:r>
          </w:p>
        </w:tc>
        <w:tc>
          <w:tcPr>
            <w:tcW w:w="1820" w:type="dxa"/>
            <w:vAlign w:val="bottom"/>
            <w:shd w:val="clear" w:color="auto" w:fill="E3ECF0"/>
          </w:tcPr>
          <w:p>
            <w:pPr>
              <w:jc w:val="right"/>
              <w:ind w:right="472"/>
              <w:spacing w:after="0" w:line="202" w:lineRule="exact"/>
              <w:rPr>
                <w:sz w:val="20"/>
                <w:szCs w:val="20"/>
                <w:color w:val="auto"/>
              </w:rPr>
            </w:pPr>
            <w:r>
              <w:rPr>
                <w:rFonts w:ascii="Arial" w:cs="Arial" w:eastAsia="Arial" w:hAnsi="Arial"/>
                <w:sz w:val="18"/>
                <w:szCs w:val="18"/>
                <w:color w:val="auto"/>
              </w:rPr>
              <w:t>384,100</w:t>
            </w:r>
          </w:p>
        </w:tc>
        <w:tc>
          <w:tcPr>
            <w:tcW w:w="20" w:type="dxa"/>
            <w:vAlign w:val="bottom"/>
          </w:tcPr>
          <w:p>
            <w:pPr>
              <w:spacing w:after="0"/>
              <w:rPr>
                <w:sz w:val="17"/>
                <w:szCs w:val="17"/>
                <w:color w:val="auto"/>
              </w:rPr>
            </w:pPr>
          </w:p>
        </w:tc>
      </w:tr>
      <w:tr>
        <w:trPr>
          <w:trHeight w:val="203"/>
        </w:trPr>
        <w:tc>
          <w:tcPr>
            <w:tcW w:w="2820" w:type="dxa"/>
            <w:vAlign w:val="bottom"/>
          </w:tcPr>
          <w:p>
            <w:pPr>
              <w:ind w:left="120"/>
              <w:spacing w:after="0" w:line="202" w:lineRule="exact"/>
              <w:rPr>
                <w:sz w:val="20"/>
                <w:szCs w:val="20"/>
                <w:color w:val="auto"/>
              </w:rPr>
            </w:pPr>
            <w:r>
              <w:rPr>
                <w:rFonts w:ascii="Arial" w:cs="Arial" w:eastAsia="Arial" w:hAnsi="Arial"/>
                <w:sz w:val="18"/>
                <w:szCs w:val="18"/>
                <w:color w:val="auto"/>
              </w:rPr>
              <w:t>Roselyn R. Bar</w:t>
            </w:r>
          </w:p>
        </w:tc>
        <w:tc>
          <w:tcPr>
            <w:tcW w:w="372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70%</w:t>
            </w:r>
          </w:p>
        </w:tc>
        <w:tc>
          <w:tcPr>
            <w:tcW w:w="60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297,847</w:t>
            </w:r>
          </w:p>
        </w:tc>
        <w:tc>
          <w:tcPr>
            <w:tcW w:w="68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ind w:right="472"/>
              <w:spacing w:after="0" w:line="202" w:lineRule="exact"/>
              <w:rPr>
                <w:sz w:val="20"/>
                <w:szCs w:val="20"/>
                <w:color w:val="auto"/>
              </w:rPr>
            </w:pPr>
            <w:r>
              <w:rPr>
                <w:rFonts w:ascii="Arial" w:cs="Arial" w:eastAsia="Arial" w:hAnsi="Arial"/>
                <w:sz w:val="18"/>
                <w:szCs w:val="18"/>
                <w:color w:val="auto"/>
              </w:rPr>
              <w:t>283,000</w:t>
            </w:r>
          </w:p>
        </w:tc>
        <w:tc>
          <w:tcPr>
            <w:tcW w:w="20" w:type="dxa"/>
            <w:vAlign w:val="bottom"/>
          </w:tcPr>
          <w:p>
            <w:pPr>
              <w:spacing w:after="0"/>
              <w:rPr>
                <w:sz w:val="17"/>
                <w:szCs w:val="17"/>
                <w:color w:val="auto"/>
              </w:rPr>
            </w:pPr>
          </w:p>
        </w:tc>
      </w:tr>
      <w:tr>
        <w:trPr>
          <w:trHeight w:val="203"/>
        </w:trPr>
        <w:tc>
          <w:tcPr>
            <w:tcW w:w="2820" w:type="dxa"/>
            <w:vAlign w:val="bottom"/>
            <w:shd w:val="clear" w:color="auto" w:fill="E3ECF0"/>
          </w:tcPr>
          <w:p>
            <w:pPr>
              <w:ind w:left="120"/>
              <w:spacing w:after="0" w:line="202" w:lineRule="exact"/>
              <w:rPr>
                <w:sz w:val="20"/>
                <w:szCs w:val="20"/>
                <w:color w:val="auto"/>
              </w:rPr>
            </w:pPr>
            <w:r>
              <w:rPr>
                <w:rFonts w:ascii="Arial" w:cs="Arial" w:eastAsia="Arial" w:hAnsi="Arial"/>
                <w:sz w:val="18"/>
                <w:szCs w:val="18"/>
                <w:color w:val="auto"/>
              </w:rPr>
              <w:t>Donald A. McCunniff</w:t>
            </w:r>
          </w:p>
        </w:tc>
        <w:tc>
          <w:tcPr>
            <w:tcW w:w="3720" w:type="dxa"/>
            <w:vAlign w:val="bottom"/>
            <w:shd w:val="clear" w:color="auto" w:fill="E3ECF0"/>
          </w:tcPr>
          <w:p>
            <w:pPr>
              <w:jc w:val="right"/>
              <w:ind w:right="432"/>
              <w:spacing w:after="0" w:line="202" w:lineRule="exact"/>
              <w:rPr>
                <w:sz w:val="20"/>
                <w:szCs w:val="20"/>
                <w:color w:val="auto"/>
              </w:rPr>
            </w:pPr>
            <w:r>
              <w:rPr>
                <w:rFonts w:ascii="Arial" w:cs="Arial" w:eastAsia="Arial" w:hAnsi="Arial"/>
                <w:sz w:val="18"/>
                <w:szCs w:val="18"/>
                <w:color w:val="auto"/>
              </w:rPr>
              <w:t>70%</w:t>
            </w:r>
          </w:p>
        </w:tc>
        <w:tc>
          <w:tcPr>
            <w:tcW w:w="600" w:type="dxa"/>
            <w:vAlign w:val="bottom"/>
            <w:shd w:val="clear" w:color="auto" w:fill="E3ECF0"/>
          </w:tcPr>
          <w:p>
            <w:pPr>
              <w:ind w:left="440"/>
              <w:spacing w:after="0" w:line="202" w:lineRule="exact"/>
              <w:rPr>
                <w:sz w:val="20"/>
                <w:szCs w:val="20"/>
                <w:color w:val="auto"/>
              </w:rPr>
            </w:pPr>
            <w:r>
              <w:rPr>
                <w:rFonts w:ascii="Arial" w:cs="Arial" w:eastAsia="Arial" w:hAnsi="Arial"/>
                <w:sz w:val="18"/>
                <w:szCs w:val="18"/>
                <w:color w:val="auto"/>
              </w:rPr>
              <w:t>$</w:t>
            </w:r>
          </w:p>
        </w:tc>
        <w:tc>
          <w:tcPr>
            <w:tcW w:w="1780" w:type="dxa"/>
            <w:vAlign w:val="bottom"/>
            <w:shd w:val="clear" w:color="auto" w:fill="E3ECF0"/>
          </w:tcPr>
          <w:p>
            <w:pPr>
              <w:jc w:val="right"/>
              <w:ind w:right="432"/>
              <w:spacing w:after="0" w:line="202" w:lineRule="exact"/>
              <w:rPr>
                <w:sz w:val="20"/>
                <w:szCs w:val="20"/>
                <w:color w:val="auto"/>
              </w:rPr>
            </w:pPr>
            <w:r>
              <w:rPr>
                <w:rFonts w:ascii="Arial" w:cs="Arial" w:eastAsia="Arial" w:hAnsi="Arial"/>
                <w:sz w:val="18"/>
                <w:szCs w:val="18"/>
                <w:color w:val="auto"/>
              </w:rPr>
              <w:t>244,609</w:t>
            </w:r>
          </w:p>
        </w:tc>
        <w:tc>
          <w:tcPr>
            <w:tcW w:w="680" w:type="dxa"/>
            <w:vAlign w:val="bottom"/>
            <w:shd w:val="clear" w:color="auto" w:fill="E3ECF0"/>
          </w:tcPr>
          <w:p>
            <w:pPr>
              <w:ind w:left="520"/>
              <w:spacing w:after="0" w:line="202" w:lineRule="exact"/>
              <w:rPr>
                <w:sz w:val="20"/>
                <w:szCs w:val="20"/>
                <w:color w:val="auto"/>
              </w:rPr>
            </w:pPr>
            <w:r>
              <w:rPr>
                <w:rFonts w:ascii="Arial" w:cs="Arial" w:eastAsia="Arial" w:hAnsi="Arial"/>
                <w:sz w:val="18"/>
                <w:szCs w:val="18"/>
                <w:color w:val="auto"/>
              </w:rPr>
              <w:t>$</w:t>
            </w:r>
          </w:p>
        </w:tc>
        <w:tc>
          <w:tcPr>
            <w:tcW w:w="1820" w:type="dxa"/>
            <w:vAlign w:val="bottom"/>
            <w:shd w:val="clear" w:color="auto" w:fill="E3ECF0"/>
          </w:tcPr>
          <w:p>
            <w:pPr>
              <w:jc w:val="right"/>
              <w:ind w:right="472"/>
              <w:spacing w:after="0" w:line="202" w:lineRule="exact"/>
              <w:rPr>
                <w:sz w:val="20"/>
                <w:szCs w:val="20"/>
                <w:color w:val="auto"/>
              </w:rPr>
            </w:pPr>
            <w:r>
              <w:rPr>
                <w:rFonts w:ascii="Arial" w:cs="Arial" w:eastAsia="Arial" w:hAnsi="Arial"/>
                <w:sz w:val="18"/>
                <w:szCs w:val="18"/>
                <w:color w:val="auto"/>
              </w:rPr>
              <w:t>227,500</w:t>
            </w:r>
          </w:p>
        </w:tc>
        <w:tc>
          <w:tcPr>
            <w:tcW w:w="20" w:type="dxa"/>
            <w:vAlign w:val="bottom"/>
          </w:tcPr>
          <w:p>
            <w:pPr>
              <w:spacing w:after="0"/>
              <w:rPr>
                <w:sz w:val="17"/>
                <w:szCs w:val="17"/>
                <w:color w:val="auto"/>
              </w:rPr>
            </w:pPr>
          </w:p>
        </w:tc>
      </w:tr>
      <w:tr>
        <w:trPr>
          <w:trHeight w:val="214"/>
        </w:trPr>
        <w:tc>
          <w:tcPr>
            <w:tcW w:w="2820" w:type="dxa"/>
            <w:vAlign w:val="bottom"/>
          </w:tcPr>
          <w:p>
            <w:pPr>
              <w:ind w:left="120"/>
              <w:spacing w:after="0"/>
              <w:rPr>
                <w:sz w:val="20"/>
                <w:szCs w:val="20"/>
                <w:color w:val="auto"/>
              </w:rPr>
            </w:pPr>
            <w:r>
              <w:rPr>
                <w:rFonts w:ascii="Arial" w:cs="Arial" w:eastAsia="Arial" w:hAnsi="Arial"/>
                <w:sz w:val="18"/>
                <w:szCs w:val="18"/>
                <w:color w:val="auto"/>
              </w:rPr>
              <w:t>Daniel L. Grant</w:t>
            </w:r>
          </w:p>
        </w:tc>
        <w:tc>
          <w:tcPr>
            <w:tcW w:w="3720" w:type="dxa"/>
            <w:vAlign w:val="bottom"/>
          </w:tcPr>
          <w:p>
            <w:pPr>
              <w:jc w:val="right"/>
              <w:ind w:right="432"/>
              <w:spacing w:after="0"/>
              <w:rPr>
                <w:sz w:val="20"/>
                <w:szCs w:val="20"/>
                <w:color w:val="auto"/>
              </w:rPr>
            </w:pPr>
            <w:r>
              <w:rPr>
                <w:rFonts w:ascii="Arial" w:cs="Arial" w:eastAsia="Arial" w:hAnsi="Arial"/>
                <w:sz w:val="18"/>
                <w:szCs w:val="18"/>
                <w:color w:val="auto"/>
              </w:rPr>
              <w:t>70%</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32"/>
              <w:spacing w:after="0"/>
              <w:rPr>
                <w:sz w:val="20"/>
                <w:szCs w:val="20"/>
                <w:color w:val="auto"/>
              </w:rPr>
            </w:pPr>
            <w:r>
              <w:rPr>
                <w:rFonts w:ascii="Arial" w:cs="Arial" w:eastAsia="Arial" w:hAnsi="Arial"/>
                <w:sz w:val="18"/>
                <w:szCs w:val="18"/>
                <w:color w:val="auto"/>
              </w:rPr>
              <w:t>230,067</w:t>
            </w:r>
          </w:p>
        </w:tc>
        <w:tc>
          <w:tcPr>
            <w:tcW w:w="680" w:type="dxa"/>
            <w:vAlign w:val="bottom"/>
          </w:tcPr>
          <w:p>
            <w:pPr>
              <w:ind w:left="5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72"/>
              <w:spacing w:after="0"/>
              <w:rPr>
                <w:sz w:val="20"/>
                <w:szCs w:val="20"/>
                <w:color w:val="auto"/>
              </w:rPr>
            </w:pPr>
            <w:r>
              <w:rPr>
                <w:rFonts w:ascii="Arial" w:cs="Arial" w:eastAsia="Arial" w:hAnsi="Arial"/>
                <w:sz w:val="18"/>
                <w:szCs w:val="18"/>
                <w:color w:val="auto"/>
              </w:rPr>
              <w:t>211,700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254875" cy="651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651510"/>
                    </a:xfrm>
                    <a:prstGeom prst="rect">
                      <a:avLst/>
                    </a:prstGeom>
                    <a:noFill/>
                  </pic:spPr>
                </pic:pic>
              </a:graphicData>
            </a:graphic>
          </wp:anchor>
        </w:drawing>
      </w:r>
    </w:p>
    <w:p>
      <w:pPr>
        <w:ind w:left="260" w:right="220" w:hanging="242"/>
        <w:spacing w:after="0" w:line="231" w:lineRule="auto"/>
        <w:rPr>
          <w:sz w:val="20"/>
          <w:szCs w:val="20"/>
          <w:color w:val="auto"/>
        </w:rPr>
      </w:pPr>
      <w:r>
        <w:rPr>
          <w:rFonts w:ascii="Arial" w:cs="Arial" w:eastAsia="Arial" w:hAnsi="Arial"/>
          <w:sz w:val="14"/>
          <w:szCs w:val="14"/>
          <w:color w:val="auto"/>
        </w:rPr>
        <w:t>*Mr.Nye has no target bonus under the Executive Incentive Plan, but the Committee generally considers an appropriate target for Mr. Nye to be 100% of base salary in evaluating his bonus level.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Incentive: One-Time Strategic Acquisition Bonus</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TXI acquisition represented a strategic transformation for our Company. This large transaction was a significant additional performance requirement for senior leadership, compared to what was originally anticipated for our 2014 annual incentive program.</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a result of senior leadership’s significant performance achievements related to this achievement, the Committee approved a one-time strategic acquisition bonus for the following accomplishments:</w:t>
      </w:r>
    </w:p>
    <w:p>
      <w:pPr>
        <w:spacing w:after="0" w:line="195"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On-time completion of the deal;</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Successful integration planning and execution;</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Achievement of synergy savings that exceeded pre-determined targets;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Delivery of $0.22 per weighted average diluted share of accretion to our shareholders in 2014.</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40"/>
          </w:cols>
          <w:pgMar w:left="240" w:top="269" w:right="21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size of the one-time strategic acquisition bonus was approximately 25% to 30% of each NEO’s base salary. For the four NEOs excluding</w:t>
      </w:r>
    </w:p>
    <w:p>
      <w:pPr>
        <w:spacing w:after="0" w:line="234" w:lineRule="auto"/>
        <w:rPr>
          <w:sz w:val="20"/>
          <w:szCs w:val="20"/>
          <w:color w:val="auto"/>
        </w:rPr>
      </w:pPr>
      <w:r>
        <w:rPr>
          <w:rFonts w:ascii="Arial" w:cs="Arial" w:eastAsia="Arial" w:hAnsi="Arial"/>
          <w:sz w:val="18"/>
          <w:szCs w:val="18"/>
          <w:color w:val="auto"/>
        </w:rPr>
        <w:t>Mr. Nye, the one-time strategic bonus was paid following the consummation of the deal when early integration had been achieved. At that time,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Mr. Nye specifically requested that he be excluded from receiving such an award, and the Committee approved his request.</w:t>
      </w:r>
    </w:p>
    <w:p>
      <w:pPr>
        <w:spacing w:after="0" w:line="15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January 2015, as part of the Committee’s normal performance evaluation for 2014 annual bonuses, the Committee contemplated whether to include Mr. Nye’s performance in executing the successful TXI transaction as part of their review. In particular, the Committee considered that under Mr. Nye’s leadership, the Company:</w:t>
      </w:r>
    </w:p>
    <w:p>
      <w:pPr>
        <w:spacing w:after="0" w:line="195" w:lineRule="exact"/>
        <w:rPr>
          <w:sz w:val="20"/>
          <w:szCs w:val="20"/>
          <w:color w:val="auto"/>
        </w:rPr>
      </w:pPr>
    </w:p>
    <w:p>
      <w:pPr>
        <w:ind w:left="900" w:hanging="325"/>
        <w:spacing w:after="0" w:line="23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Achieved $28 million in synergies in 2014, exceeding expectations by 53% or nearly $10 million, even with only 6 months of ownership of the acquired operations.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Revised its goal for achievement of synergies to $100 million by 2016, a more than 40% increase over original estimates.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Demonstrated its ability to deliver on its objectives and create additional shareholder value.</w:t>
      </w:r>
    </w:p>
    <w:p>
      <w:pPr>
        <w:spacing w:after="0" w:line="15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After a thorough review and discussion of external market and internal Company considerations, the Committee decided to reject Mr. Nye’s request for no special consideration for the TXI transaction and include him at a consistent level as the other NEOs. These one-time strategic acquisition bonuses ranged from $65,000 to $120,000 to our NEOs and $250,000 to Mr. Nye as an acknowledgment of our executives’ successful leadership throughout the TXI acquisition process. We determined that these awards were warranted based on the timely completion of the acquisition and successful planning and execution of the early steps of the integration, in addition to above-target potential cost savings. In addition, we believe that these awards are appropriate because the merger and integration represented a significant additional strategic initiative for our executives beyond the scope of our incentive compensation program, which rewards executives for the annual operational success of our organization. The Committee determined, with the advice of Aon Hewitt, that a one-time award based on the transaction accomplishments was appropriate.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Feature: Performance-Based Stock Purchase Plan</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Incentive Stock Plan provides the opportunity to invest a portion of annual bonus in Martin Marietta stock. There are both voluntary and mandatory deferrals under the plan.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voluntary election allows executives to invest up to 50% of their annual cash bonus to purchase units that are subsequently converted into shares of common stock pursuant to the terms of the plan at a 20% discount from the market price of Martin Marietta’s common stock on the date the amount of the bonus is determined. The discount is used to account for the risk of trading current cash compensation for “at-risk” shares which may decline in value.</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mandatory portion requires executives to invest a minimum of 20% of their cash bonus towards the crediting of units under the plan. The CEO is required to invest a minimum of 35% of his cash bonus towards the crediting of such units.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mandatory contribution requirement directly links a portion of executive officer compensation to shareholder returns. The vesting aspect combined with the yearly stock purchase requirement, creates continuous overlapping three-year cycles, which encourage executive officer retention and provide a continuous link of a significant portion of executive officer compensation with shareholder return over the long term to reward these executive officers in line with our shareholders when our stock price increases.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units generally vest in three years from the date of the award and are distributed in shares of common stock. If an executive officer voluntarily terminates employment before the units vest in three years, the stock units are forfeited and the executive officer receives a cash payment equal to the lesser of the cash that was invested or the fair value of the share units on the day of termination.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long-term incentive (LTI) compensation structure in 2014 consists of the following:</w:t>
      </w:r>
    </w:p>
    <w:p>
      <w:pPr>
        <w:spacing w:after="0" w:line="176" w:lineRule="exact"/>
        <w:rPr>
          <w:sz w:val="20"/>
          <w:szCs w:val="20"/>
          <w:color w:val="auto"/>
        </w:rPr>
      </w:pPr>
    </w:p>
    <w:p>
      <w:pPr>
        <w:ind w:left="900" w:hanging="325"/>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8"/>
          <w:szCs w:val="18"/>
          <w:b w:val="1"/>
          <w:bCs w:val="1"/>
          <w:color w:val="auto"/>
        </w:rPr>
        <w:t>ong-</w:t>
      </w:r>
      <w:r>
        <w:rPr>
          <w:rFonts w:ascii="Arial" w:cs="Arial" w:eastAsia="Arial" w:hAnsi="Arial"/>
          <w:sz w:val="18"/>
          <w:szCs w:val="18"/>
          <w:b w:val="1"/>
          <w:bCs w:val="1"/>
          <w:u w:val="single" w:color="auto"/>
          <w:color w:val="auto"/>
        </w:rPr>
        <w:t>T</w:t>
      </w:r>
      <w:r>
        <w:rPr>
          <w:rFonts w:ascii="Arial" w:cs="Arial" w:eastAsia="Arial" w:hAnsi="Arial"/>
          <w:sz w:val="18"/>
          <w:szCs w:val="18"/>
          <w:b w:val="1"/>
          <w:bCs w:val="1"/>
          <w:color w:val="auto"/>
        </w:rPr>
        <w:t xml:space="preserve">erm </w:t>
      </w:r>
      <w:r>
        <w:rPr>
          <w:rFonts w:ascii="Arial" w:cs="Arial" w:eastAsia="Arial" w:hAnsi="Arial"/>
          <w:sz w:val="18"/>
          <w:szCs w:val="18"/>
          <w:b w:val="1"/>
          <w:bCs w:val="1"/>
          <w:u w:val="single" w:color="auto"/>
          <w:color w:val="auto"/>
        </w:rPr>
        <w:t>I</w:t>
      </w:r>
      <w:r>
        <w:rPr>
          <w:rFonts w:ascii="Arial" w:cs="Arial" w:eastAsia="Arial" w:hAnsi="Arial"/>
          <w:sz w:val="18"/>
          <w:szCs w:val="18"/>
          <w:b w:val="1"/>
          <w:bCs w:val="1"/>
          <w:color w:val="auto"/>
        </w:rPr>
        <w:t xml:space="preserve">ncentive </w:t>
      </w:r>
      <w:r>
        <w:rPr>
          <w:rFonts w:ascii="Arial" w:cs="Arial" w:eastAsia="Arial" w:hAnsi="Arial"/>
          <w:sz w:val="18"/>
          <w:szCs w:val="18"/>
          <w:b w:val="1"/>
          <w:bCs w:val="1"/>
          <w:u w:val="single" w:color="auto"/>
          <w:color w:val="auto"/>
        </w:rPr>
        <w:t>P</w:t>
      </w:r>
      <w:r>
        <w:rPr>
          <w:rFonts w:ascii="Arial" w:cs="Arial" w:eastAsia="Arial" w:hAnsi="Arial"/>
          <w:sz w:val="18"/>
          <w:szCs w:val="18"/>
          <w:b w:val="1"/>
          <w:bCs w:val="1"/>
          <w:color w:val="auto"/>
        </w:rPr>
        <w:t xml:space="preserve">rogram (LTIP): </w:t>
      </w:r>
      <w:r>
        <w:rPr>
          <w:rFonts w:ascii="Arial" w:cs="Arial" w:eastAsia="Arial" w:hAnsi="Arial"/>
          <w:sz w:val="18"/>
          <w:szCs w:val="18"/>
          <w:color w:val="auto"/>
        </w:rPr>
        <w:t>Includes grants of 1/3 stock option value and 2/3 RSU value. Grant size is dependent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annual financial performance.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7" w:right="239" w:bottom="1440" w:gutter="0" w:footer="0" w:header="0"/>
        </w:sectPr>
      </w:pPr>
    </w:p>
    <w:bookmarkStart w:id="41" w:name="page42"/>
    <w:bookmarkEnd w:id="41"/>
    <w:p>
      <w:pPr>
        <w:jc w:val="both"/>
        <w:ind w:left="900" w:right="20" w:hanging="325"/>
        <w:spacing w:after="0" w:line="24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w:t>
      </w:r>
      <w:r>
        <w:rPr>
          <w:rFonts w:ascii="Arial" w:cs="Arial" w:eastAsia="Arial" w:hAnsi="Arial"/>
          <w:sz w:val="18"/>
          <w:szCs w:val="18"/>
          <w:b w:val="1"/>
          <w:bCs w:val="1"/>
          <w:color w:val="auto"/>
        </w:rPr>
        <w:t xml:space="preserve">erformance </w:t>
      </w:r>
      <w:r>
        <w:rPr>
          <w:rFonts w:ascii="Arial" w:cs="Arial" w:eastAsia="Arial" w:hAnsi="Arial"/>
          <w:sz w:val="18"/>
          <w:szCs w:val="18"/>
          <w:b w:val="1"/>
          <w:bCs w:val="1"/>
          <w:u w:val="single" w:color="auto"/>
          <w:color w:val="auto"/>
        </w:rPr>
        <w:t>S</w:t>
      </w:r>
      <w:r>
        <w:rPr>
          <w:rFonts w:ascii="Arial" w:cs="Arial" w:eastAsia="Arial" w:hAnsi="Arial"/>
          <w:sz w:val="18"/>
          <w:szCs w:val="18"/>
          <w:b w:val="1"/>
          <w:bCs w:val="1"/>
          <w:color w:val="auto"/>
        </w:rPr>
        <w:t xml:space="preserve">hare </w:t>
      </w:r>
      <w:r>
        <w:rPr>
          <w:rFonts w:ascii="Arial" w:cs="Arial" w:eastAsia="Arial" w:hAnsi="Arial"/>
          <w:sz w:val="18"/>
          <w:szCs w:val="18"/>
          <w:b w:val="1"/>
          <w:bCs w:val="1"/>
          <w:u w:val="single" w:color="auto"/>
          <w:color w:val="auto"/>
        </w:rPr>
        <w:t>U</w:t>
      </w:r>
      <w:r>
        <w:rPr>
          <w:rFonts w:ascii="Arial" w:cs="Arial" w:eastAsia="Arial" w:hAnsi="Arial"/>
          <w:sz w:val="18"/>
          <w:szCs w:val="18"/>
          <w:b w:val="1"/>
          <w:bCs w:val="1"/>
          <w:color w:val="auto"/>
        </w:rPr>
        <w:t xml:space="preserve">nits (PSUs): </w:t>
      </w:r>
      <w:r>
        <w:rPr>
          <w:rFonts w:ascii="Arial" w:cs="Arial" w:eastAsia="Arial" w:hAnsi="Arial"/>
          <w:sz w:val="18"/>
          <w:szCs w:val="18"/>
          <w:color w:val="auto"/>
        </w:rPr>
        <w:t>Includes grants of performance-based shares based on our three-year average return on sales</w:t>
      </w:r>
      <w:r>
        <w:rPr>
          <w:rFonts w:ascii="Arial" w:cs="Arial" w:eastAsia="Arial" w:hAnsi="Arial"/>
          <w:sz w:val="18"/>
          <w:szCs w:val="18"/>
          <w:b w:val="1"/>
          <w:bCs w:val="1"/>
          <w:color w:val="auto"/>
        </w:rPr>
        <w:t xml:space="preserve"> </w:t>
      </w:r>
      <w:r>
        <w:rPr>
          <w:rFonts w:ascii="Arial" w:cs="Arial" w:eastAsia="Arial" w:hAnsi="Arial"/>
          <w:sz w:val="18"/>
          <w:szCs w:val="18"/>
          <w:color w:val="auto"/>
        </w:rPr>
        <w:t>(ROS), three-year cumulative EBITDA, and three-year total shareholder return performance relative to a peer group comprised of U.S. companies in similar industries (TSR).</w:t>
      </w:r>
    </w:p>
    <w:p>
      <w:pPr>
        <w:spacing w:after="0" w:line="14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Annually, the Committee determines the grant-date target value for each executive based on a review of competitive market data from the Compensation Peer Group, broader U.S. compensation survey data and other published surveys, and management’s recommendations (except for the CEO).</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720" w:type="dxa"/>
            <w:vAlign w:val="bottom"/>
            <w:tcBorders>
              <w:left w:val="single" w:sz="8" w:color="47829E"/>
              <w:right w:val="single" w:sz="8" w:color="47829E"/>
            </w:tcBorders>
            <w:shd w:val="clear" w:color="auto" w:fill="47829E"/>
          </w:tcPr>
          <w:p>
            <w:pPr>
              <w:spacing w:after="0"/>
              <w:rPr>
                <w:sz w:val="17"/>
                <w:szCs w:val="17"/>
                <w:color w:val="auto"/>
              </w:rPr>
            </w:pPr>
          </w:p>
        </w:tc>
        <w:tc>
          <w:tcPr>
            <w:tcW w:w="2520" w:type="dxa"/>
            <w:vAlign w:val="bottom"/>
            <w:tcBorders>
              <w:right w:val="single" w:sz="8" w:color="47829E"/>
            </w:tcBorders>
            <w:shd w:val="clear" w:color="auto" w:fill="47829E"/>
          </w:tcPr>
          <w:p>
            <w:pPr>
              <w:jc w:val="center"/>
              <w:ind w:left="12"/>
              <w:spacing w:after="0"/>
              <w:rPr>
                <w:sz w:val="20"/>
                <w:szCs w:val="20"/>
                <w:color w:val="auto"/>
              </w:rPr>
            </w:pPr>
            <w:r>
              <w:rPr>
                <w:rFonts w:ascii="Arial" w:cs="Arial" w:eastAsia="Arial" w:hAnsi="Arial"/>
                <w:sz w:val="18"/>
                <w:szCs w:val="18"/>
                <w:b w:val="1"/>
                <w:bCs w:val="1"/>
                <w:color w:val="FFFFFF"/>
                <w:w w:val="97"/>
              </w:rPr>
              <w:t>2014 Award</w:t>
            </w:r>
          </w:p>
        </w:tc>
        <w:tc>
          <w:tcPr>
            <w:tcW w:w="26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8"/>
                <w:szCs w:val="18"/>
                <w:b w:val="1"/>
                <w:bCs w:val="1"/>
                <w:color w:val="FFFFFF"/>
                <w:w w:val="96"/>
              </w:rPr>
              <w:t>2014 Performance</w:t>
            </w:r>
          </w:p>
        </w:tc>
        <w:tc>
          <w:tcPr>
            <w:tcW w:w="18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8"/>
                <w:szCs w:val="18"/>
                <w:b w:val="1"/>
                <w:bCs w:val="1"/>
                <w:color w:val="FFFFFF"/>
                <w:w w:val="97"/>
              </w:rPr>
              <w:t>2013 Award</w:t>
            </w:r>
          </w:p>
        </w:tc>
        <w:tc>
          <w:tcPr>
            <w:tcW w:w="27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8"/>
                <w:szCs w:val="18"/>
                <w:b w:val="1"/>
                <w:bCs w:val="1"/>
                <w:color w:val="FFFFFF"/>
                <w:w w:val="97"/>
              </w:rPr>
              <w:t>2013 Performance</w:t>
            </w:r>
          </w:p>
        </w:tc>
        <w:tc>
          <w:tcPr>
            <w:tcW w:w="0" w:type="dxa"/>
            <w:vAlign w:val="bottom"/>
          </w:tcPr>
          <w:p>
            <w:pPr>
              <w:spacing w:after="0"/>
              <w:rPr>
                <w:sz w:val="1"/>
                <w:szCs w:val="1"/>
                <w:color w:val="auto"/>
              </w:rPr>
            </w:pPr>
          </w:p>
        </w:tc>
      </w:tr>
      <w:tr>
        <w:trPr>
          <w:trHeight w:val="235"/>
        </w:trPr>
        <w:tc>
          <w:tcPr>
            <w:tcW w:w="1720" w:type="dxa"/>
            <w:vAlign w:val="bottom"/>
            <w:tcBorders>
              <w:left w:val="single" w:sz="8" w:color="47829E"/>
              <w:right w:val="single" w:sz="8" w:color="47829E"/>
            </w:tcBorders>
            <w:shd w:val="clear" w:color="auto" w:fill="47829E"/>
          </w:tcPr>
          <w:p>
            <w:pPr>
              <w:ind w:left="120"/>
              <w:spacing w:after="0"/>
              <w:rPr>
                <w:sz w:val="20"/>
                <w:szCs w:val="20"/>
                <w:color w:val="auto"/>
              </w:rPr>
            </w:pPr>
            <w:r>
              <w:rPr>
                <w:rFonts w:ascii="Arial" w:cs="Arial" w:eastAsia="Arial" w:hAnsi="Arial"/>
                <w:sz w:val="18"/>
                <w:szCs w:val="18"/>
                <w:b w:val="1"/>
                <w:bCs w:val="1"/>
                <w:color w:val="FFFFFF"/>
              </w:rPr>
              <w:t>Equity Plan</w:t>
            </w:r>
          </w:p>
        </w:tc>
        <w:tc>
          <w:tcPr>
            <w:tcW w:w="25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8"/>
                <w:szCs w:val="18"/>
                <w:b w:val="1"/>
                <w:bCs w:val="1"/>
                <w:color w:val="FFFFFF"/>
                <w:w w:val="98"/>
              </w:rPr>
              <w:t>Granted</w:t>
            </w:r>
          </w:p>
        </w:tc>
        <w:tc>
          <w:tcPr>
            <w:tcW w:w="26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8"/>
                <w:szCs w:val="18"/>
                <w:b w:val="1"/>
                <w:bCs w:val="1"/>
                <w:color w:val="FFFFFF"/>
                <w:w w:val="96"/>
              </w:rPr>
              <w:t>Measurements</w:t>
            </w:r>
          </w:p>
        </w:tc>
        <w:tc>
          <w:tcPr>
            <w:tcW w:w="1820" w:type="dxa"/>
            <w:vAlign w:val="bottom"/>
            <w:tcBorders>
              <w:right w:val="single" w:sz="8" w:color="47829E"/>
            </w:tcBorders>
            <w:shd w:val="clear" w:color="auto" w:fill="47829E"/>
          </w:tcPr>
          <w:p>
            <w:pPr>
              <w:jc w:val="center"/>
              <w:ind w:left="12"/>
              <w:spacing w:after="0"/>
              <w:rPr>
                <w:sz w:val="20"/>
                <w:szCs w:val="20"/>
                <w:color w:val="auto"/>
              </w:rPr>
            </w:pPr>
            <w:r>
              <w:rPr>
                <w:rFonts w:ascii="Arial" w:cs="Arial" w:eastAsia="Arial" w:hAnsi="Arial"/>
                <w:sz w:val="18"/>
                <w:szCs w:val="18"/>
                <w:b w:val="1"/>
                <w:bCs w:val="1"/>
                <w:color w:val="FFFFFF"/>
                <w:w w:val="98"/>
              </w:rPr>
              <w:t>Granted</w:t>
            </w:r>
          </w:p>
        </w:tc>
        <w:tc>
          <w:tcPr>
            <w:tcW w:w="27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8"/>
                <w:szCs w:val="18"/>
                <w:b w:val="1"/>
                <w:bCs w:val="1"/>
                <w:color w:val="FFFFFF"/>
                <w:w w:val="98"/>
              </w:rPr>
              <w:t>Measurements</w:t>
            </w:r>
          </w:p>
        </w:tc>
        <w:tc>
          <w:tcPr>
            <w:tcW w:w="0" w:type="dxa"/>
            <w:vAlign w:val="bottom"/>
          </w:tcPr>
          <w:p>
            <w:pPr>
              <w:spacing w:after="0"/>
              <w:rPr>
                <w:sz w:val="1"/>
                <w:szCs w:val="1"/>
                <w:color w:val="auto"/>
              </w:rPr>
            </w:pPr>
          </w:p>
        </w:tc>
      </w:tr>
      <w:tr>
        <w:trPr>
          <w:trHeight w:val="206"/>
        </w:trPr>
        <w:tc>
          <w:tcPr>
            <w:tcW w:w="1720" w:type="dxa"/>
            <w:vAlign w:val="bottom"/>
            <w:tcBorders>
              <w:left w:val="single" w:sz="8" w:color="47829E"/>
              <w:right w:val="single" w:sz="8" w:color="47829E"/>
            </w:tcBorders>
          </w:tcPr>
          <w:p>
            <w:pPr>
              <w:spacing w:after="0"/>
              <w:rPr>
                <w:sz w:val="17"/>
                <w:szCs w:val="17"/>
                <w:color w:val="auto"/>
              </w:rPr>
            </w:pPr>
          </w:p>
        </w:tc>
        <w:tc>
          <w:tcPr>
            <w:tcW w:w="252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8"/>
                <w:szCs w:val="18"/>
                <w:color w:val="auto"/>
                <w:w w:val="97"/>
              </w:rPr>
              <w:t>Performance measured</w:t>
            </w:r>
          </w:p>
        </w:tc>
        <w:tc>
          <w:tcPr>
            <w:tcW w:w="2620" w:type="dxa"/>
            <w:vAlign w:val="bottom"/>
            <w:tcBorders>
              <w:right w:val="single" w:sz="8" w:color="47829E"/>
            </w:tcBorders>
          </w:tcPr>
          <w:p>
            <w:pPr>
              <w:jc w:val="center"/>
              <w:ind w:left="12"/>
              <w:spacing w:after="0" w:line="206" w:lineRule="exact"/>
              <w:rPr>
                <w:sz w:val="20"/>
                <w:szCs w:val="20"/>
                <w:color w:val="auto"/>
              </w:rPr>
            </w:pPr>
            <w:r>
              <w:rPr>
                <w:rFonts w:ascii="Arial" w:cs="Arial" w:eastAsia="Arial" w:hAnsi="Arial"/>
                <w:sz w:val="18"/>
                <w:szCs w:val="18"/>
                <w:color w:val="auto"/>
                <w:w w:val="97"/>
              </w:rPr>
              <w:t>3 year average ROS</w:t>
            </w:r>
          </w:p>
        </w:tc>
        <w:tc>
          <w:tcPr>
            <w:tcW w:w="1820" w:type="dxa"/>
            <w:vAlign w:val="bottom"/>
            <w:tcBorders>
              <w:right w:val="single" w:sz="8" w:color="47829E"/>
            </w:tcBorders>
          </w:tcPr>
          <w:p>
            <w:pPr>
              <w:spacing w:after="0"/>
              <w:rPr>
                <w:sz w:val="17"/>
                <w:szCs w:val="17"/>
                <w:color w:val="auto"/>
              </w:rPr>
            </w:pPr>
          </w:p>
        </w:tc>
        <w:tc>
          <w:tcPr>
            <w:tcW w:w="2760" w:type="dxa"/>
            <w:vAlign w:val="bottom"/>
            <w:tcBorders>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47829E"/>
              <w:right w:val="single" w:sz="8" w:color="47829E"/>
            </w:tcBorders>
          </w:tcPr>
          <w:p>
            <w:pPr>
              <w:spacing w:after="0"/>
              <w:rPr>
                <w:sz w:val="9"/>
                <w:szCs w:val="9"/>
                <w:color w:val="auto"/>
              </w:rPr>
            </w:pPr>
          </w:p>
        </w:tc>
        <w:tc>
          <w:tcPr>
            <w:tcW w:w="2520" w:type="dxa"/>
            <w:vAlign w:val="bottom"/>
            <w:tcBorders>
              <w:right w:val="single" w:sz="8" w:color="47829E"/>
            </w:tcBorders>
            <w:vMerge w:val="continue"/>
          </w:tcPr>
          <w:p>
            <w:pPr>
              <w:spacing w:after="0"/>
              <w:rPr>
                <w:sz w:val="9"/>
                <w:szCs w:val="9"/>
                <w:color w:val="auto"/>
              </w:rPr>
            </w:pPr>
          </w:p>
        </w:tc>
        <w:tc>
          <w:tcPr>
            <w:tcW w:w="2620" w:type="dxa"/>
            <w:vAlign w:val="bottom"/>
            <w:tcBorders>
              <w:right w:val="single" w:sz="8" w:color="47829E"/>
            </w:tcBorders>
            <w:vMerge w:val="restart"/>
          </w:tcPr>
          <w:p>
            <w:pPr>
              <w:jc w:val="center"/>
              <w:spacing w:after="0" w:line="202" w:lineRule="exact"/>
              <w:rPr>
                <w:sz w:val="20"/>
                <w:szCs w:val="20"/>
                <w:color w:val="auto"/>
              </w:rPr>
            </w:pPr>
            <w:r>
              <w:rPr>
                <w:rFonts w:ascii="Arial" w:cs="Arial" w:eastAsia="Arial" w:hAnsi="Arial"/>
                <w:sz w:val="18"/>
                <w:szCs w:val="18"/>
                <w:color w:val="auto"/>
                <w:w w:val="97"/>
              </w:rPr>
              <w:t>3 year cumulative EBITDA</w:t>
            </w:r>
          </w:p>
        </w:tc>
        <w:tc>
          <w:tcPr>
            <w:tcW w:w="1820" w:type="dxa"/>
            <w:vAlign w:val="bottom"/>
            <w:tcBorders>
              <w:right w:val="single" w:sz="8" w:color="47829E"/>
            </w:tcBorders>
            <w:vMerge w:val="restart"/>
          </w:tcPr>
          <w:p>
            <w:pPr>
              <w:jc w:val="center"/>
              <w:ind w:left="12"/>
              <w:spacing w:after="0" w:line="202" w:lineRule="exact"/>
              <w:rPr>
                <w:sz w:val="20"/>
                <w:szCs w:val="20"/>
                <w:color w:val="auto"/>
              </w:rPr>
            </w:pPr>
            <w:r>
              <w:rPr>
                <w:rFonts w:ascii="Arial" w:cs="Arial" w:eastAsia="Arial" w:hAnsi="Arial"/>
                <w:sz w:val="18"/>
                <w:szCs w:val="18"/>
                <w:color w:val="auto"/>
                <w:w w:val="97"/>
              </w:rPr>
              <w:t>2014 is first year of</w:t>
            </w:r>
          </w:p>
        </w:tc>
        <w:tc>
          <w:tcPr>
            <w:tcW w:w="2760" w:type="dxa"/>
            <w:vAlign w:val="bottom"/>
            <w:tcBorders>
              <w:right w:val="single" w:sz="8" w:color="47829E"/>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47829E"/>
              <w:right w:val="single" w:sz="8" w:color="47829E"/>
            </w:tcBorders>
            <w:vMerge w:val="restart"/>
          </w:tcPr>
          <w:p>
            <w:pPr>
              <w:ind w:left="120"/>
              <w:spacing w:after="0" w:line="202" w:lineRule="exact"/>
              <w:rPr>
                <w:sz w:val="20"/>
                <w:szCs w:val="20"/>
                <w:color w:val="auto"/>
              </w:rPr>
            </w:pPr>
            <w:r>
              <w:rPr>
                <w:rFonts w:ascii="Arial" w:cs="Arial" w:eastAsia="Arial" w:hAnsi="Arial"/>
                <w:sz w:val="18"/>
                <w:szCs w:val="18"/>
                <w:color w:val="auto"/>
              </w:rPr>
              <w:t>PSUs (2014)</w:t>
            </w:r>
          </w:p>
        </w:tc>
        <w:tc>
          <w:tcPr>
            <w:tcW w:w="2520" w:type="dxa"/>
            <w:vAlign w:val="bottom"/>
            <w:tcBorders>
              <w:right w:val="single" w:sz="8" w:color="47829E"/>
            </w:tcBorders>
            <w:vMerge w:val="restart"/>
          </w:tcPr>
          <w:p>
            <w:pPr>
              <w:jc w:val="center"/>
              <w:spacing w:after="0" w:line="202" w:lineRule="exact"/>
              <w:rPr>
                <w:sz w:val="20"/>
                <w:szCs w:val="20"/>
                <w:color w:val="auto"/>
              </w:rPr>
            </w:pPr>
            <w:r>
              <w:rPr>
                <w:rFonts w:ascii="Arial" w:cs="Arial" w:eastAsia="Arial" w:hAnsi="Arial"/>
                <w:sz w:val="18"/>
                <w:szCs w:val="18"/>
                <w:color w:val="auto"/>
                <w:w w:val="95"/>
              </w:rPr>
              <w:t>on 12/31/16. Target is</w:t>
            </w:r>
          </w:p>
        </w:tc>
        <w:tc>
          <w:tcPr>
            <w:tcW w:w="2620" w:type="dxa"/>
            <w:vAlign w:val="bottom"/>
            <w:tcBorders>
              <w:right w:val="single" w:sz="8" w:color="47829E"/>
            </w:tcBorders>
            <w:vMerge w:val="continue"/>
          </w:tcPr>
          <w:p>
            <w:pPr>
              <w:spacing w:after="0"/>
              <w:rPr>
                <w:sz w:val="8"/>
                <w:szCs w:val="8"/>
                <w:color w:val="auto"/>
              </w:rPr>
            </w:pPr>
          </w:p>
        </w:tc>
        <w:tc>
          <w:tcPr>
            <w:tcW w:w="1820" w:type="dxa"/>
            <w:vAlign w:val="bottom"/>
            <w:tcBorders>
              <w:right w:val="single" w:sz="8" w:color="47829E"/>
            </w:tcBorders>
            <w:vMerge w:val="continue"/>
          </w:tcPr>
          <w:p>
            <w:pPr>
              <w:spacing w:after="0"/>
              <w:rPr>
                <w:sz w:val="8"/>
                <w:szCs w:val="8"/>
                <w:color w:val="auto"/>
              </w:rPr>
            </w:pPr>
          </w:p>
        </w:tc>
        <w:tc>
          <w:tcPr>
            <w:tcW w:w="2760" w:type="dxa"/>
            <w:vAlign w:val="bottom"/>
            <w:tcBorders>
              <w:right w:val="single" w:sz="8" w:color="47829E"/>
            </w:tcBorders>
            <w:vMerge w:val="restart"/>
          </w:tcPr>
          <w:p>
            <w:pPr>
              <w:jc w:val="center"/>
              <w:spacing w:after="0" w:line="202"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08"/>
        </w:trPr>
        <w:tc>
          <w:tcPr>
            <w:tcW w:w="1720" w:type="dxa"/>
            <w:vAlign w:val="bottom"/>
            <w:tcBorders>
              <w:left w:val="single" w:sz="8" w:color="47829E"/>
              <w:right w:val="single" w:sz="8" w:color="47829E"/>
            </w:tcBorders>
            <w:vMerge w:val="continue"/>
          </w:tcPr>
          <w:p>
            <w:pPr>
              <w:spacing w:after="0"/>
              <w:rPr>
                <w:sz w:val="9"/>
                <w:szCs w:val="9"/>
                <w:color w:val="auto"/>
              </w:rPr>
            </w:pPr>
          </w:p>
        </w:tc>
        <w:tc>
          <w:tcPr>
            <w:tcW w:w="2520" w:type="dxa"/>
            <w:vAlign w:val="bottom"/>
            <w:tcBorders>
              <w:right w:val="single" w:sz="8" w:color="47829E"/>
            </w:tcBorders>
            <w:vMerge w:val="continue"/>
          </w:tcPr>
          <w:p>
            <w:pPr>
              <w:spacing w:after="0"/>
              <w:rPr>
                <w:sz w:val="9"/>
                <w:szCs w:val="9"/>
                <w:color w:val="auto"/>
              </w:rPr>
            </w:pPr>
          </w:p>
        </w:tc>
        <w:tc>
          <w:tcPr>
            <w:tcW w:w="2620" w:type="dxa"/>
            <w:vAlign w:val="bottom"/>
            <w:tcBorders>
              <w:right w:val="single" w:sz="8" w:color="47829E"/>
            </w:tcBorders>
            <w:vMerge w:val="restart"/>
          </w:tcPr>
          <w:p>
            <w:pPr>
              <w:jc w:val="center"/>
              <w:spacing w:after="0" w:line="202" w:lineRule="exact"/>
              <w:rPr>
                <w:sz w:val="20"/>
                <w:szCs w:val="20"/>
                <w:color w:val="auto"/>
              </w:rPr>
            </w:pPr>
            <w:r>
              <w:rPr>
                <w:rFonts w:ascii="Arial" w:cs="Arial" w:eastAsia="Arial" w:hAnsi="Arial"/>
                <w:sz w:val="18"/>
                <w:szCs w:val="18"/>
                <w:color w:val="auto"/>
                <w:w w:val="97"/>
              </w:rPr>
              <w:t>Relative TSR as compared</w:t>
            </w:r>
          </w:p>
        </w:tc>
        <w:tc>
          <w:tcPr>
            <w:tcW w:w="1820" w:type="dxa"/>
            <w:vAlign w:val="bottom"/>
            <w:tcBorders>
              <w:right w:val="single" w:sz="8" w:color="47829E"/>
            </w:tcBorders>
            <w:vMerge w:val="restart"/>
          </w:tcPr>
          <w:p>
            <w:pPr>
              <w:jc w:val="center"/>
              <w:ind w:left="12"/>
              <w:spacing w:after="0" w:line="202" w:lineRule="exact"/>
              <w:rPr>
                <w:sz w:val="20"/>
                <w:szCs w:val="20"/>
                <w:color w:val="auto"/>
              </w:rPr>
            </w:pPr>
            <w:r>
              <w:rPr>
                <w:rFonts w:ascii="Arial" w:cs="Arial" w:eastAsia="Arial" w:hAnsi="Arial"/>
                <w:sz w:val="18"/>
                <w:szCs w:val="18"/>
                <w:color w:val="auto"/>
                <w:w w:val="97"/>
              </w:rPr>
              <w:t>award</w:t>
            </w:r>
          </w:p>
        </w:tc>
        <w:tc>
          <w:tcPr>
            <w:tcW w:w="2760" w:type="dxa"/>
            <w:vAlign w:val="bottom"/>
            <w:tcBorders>
              <w:right w:val="single" w:sz="8" w:color="47829E"/>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47829E"/>
              <w:right w:val="single" w:sz="8" w:color="47829E"/>
            </w:tcBorders>
          </w:tcPr>
          <w:p>
            <w:pPr>
              <w:spacing w:after="0"/>
              <w:rPr>
                <w:sz w:val="8"/>
                <w:szCs w:val="8"/>
                <w:color w:val="auto"/>
              </w:rPr>
            </w:pPr>
          </w:p>
        </w:tc>
        <w:tc>
          <w:tcPr>
            <w:tcW w:w="2520" w:type="dxa"/>
            <w:vAlign w:val="bottom"/>
            <w:tcBorders>
              <w:right w:val="single" w:sz="8" w:color="47829E"/>
            </w:tcBorders>
            <w:vMerge w:val="restart"/>
          </w:tcPr>
          <w:p>
            <w:pPr>
              <w:jc w:val="center"/>
              <w:ind w:left="12"/>
              <w:spacing w:after="0"/>
              <w:rPr>
                <w:sz w:val="20"/>
                <w:szCs w:val="20"/>
                <w:color w:val="auto"/>
              </w:rPr>
            </w:pPr>
            <w:r>
              <w:rPr>
                <w:rFonts w:ascii="Arial" w:cs="Arial" w:eastAsia="Arial" w:hAnsi="Arial"/>
                <w:sz w:val="18"/>
                <w:szCs w:val="18"/>
                <w:color w:val="auto"/>
                <w:w w:val="97"/>
              </w:rPr>
              <w:t>40% of base salary.</w:t>
            </w:r>
          </w:p>
        </w:tc>
        <w:tc>
          <w:tcPr>
            <w:tcW w:w="2620" w:type="dxa"/>
            <w:vAlign w:val="bottom"/>
            <w:tcBorders>
              <w:right w:val="single" w:sz="8" w:color="47829E"/>
            </w:tcBorders>
            <w:vMerge w:val="continue"/>
          </w:tcPr>
          <w:p>
            <w:pPr>
              <w:spacing w:after="0"/>
              <w:rPr>
                <w:sz w:val="8"/>
                <w:szCs w:val="8"/>
                <w:color w:val="auto"/>
              </w:rPr>
            </w:pPr>
          </w:p>
        </w:tc>
        <w:tc>
          <w:tcPr>
            <w:tcW w:w="1820" w:type="dxa"/>
            <w:vAlign w:val="bottom"/>
            <w:tcBorders>
              <w:right w:val="single" w:sz="8" w:color="47829E"/>
            </w:tcBorders>
            <w:vMerge w:val="continue"/>
          </w:tcPr>
          <w:p>
            <w:pPr>
              <w:spacing w:after="0"/>
              <w:rPr>
                <w:sz w:val="8"/>
                <w:szCs w:val="8"/>
                <w:color w:val="auto"/>
              </w:rPr>
            </w:pPr>
          </w:p>
        </w:tc>
        <w:tc>
          <w:tcPr>
            <w:tcW w:w="2760" w:type="dxa"/>
            <w:vAlign w:val="bottom"/>
            <w:tcBorders>
              <w:right w:val="single" w:sz="8" w:color="47829E"/>
            </w:tcBorders>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720" w:type="dxa"/>
            <w:vAlign w:val="bottom"/>
            <w:tcBorders>
              <w:left w:val="single" w:sz="8" w:color="47829E"/>
              <w:right w:val="single" w:sz="8" w:color="47829E"/>
            </w:tcBorders>
          </w:tcPr>
          <w:p>
            <w:pPr>
              <w:spacing w:after="0"/>
              <w:rPr>
                <w:sz w:val="10"/>
                <w:szCs w:val="10"/>
                <w:color w:val="auto"/>
              </w:rPr>
            </w:pPr>
          </w:p>
        </w:tc>
        <w:tc>
          <w:tcPr>
            <w:tcW w:w="2520" w:type="dxa"/>
            <w:vAlign w:val="bottom"/>
            <w:tcBorders>
              <w:right w:val="single" w:sz="8" w:color="47829E"/>
            </w:tcBorders>
            <w:vMerge w:val="continue"/>
          </w:tcPr>
          <w:p>
            <w:pPr>
              <w:spacing w:after="0"/>
              <w:rPr>
                <w:sz w:val="10"/>
                <w:szCs w:val="10"/>
                <w:color w:val="auto"/>
              </w:rPr>
            </w:pPr>
          </w:p>
        </w:tc>
        <w:tc>
          <w:tcPr>
            <w:tcW w:w="2620" w:type="dxa"/>
            <w:vAlign w:val="bottom"/>
            <w:tcBorders>
              <w:right w:val="single" w:sz="8" w:color="47829E"/>
            </w:tcBorders>
            <w:vMerge w:val="restart"/>
          </w:tcPr>
          <w:p>
            <w:pPr>
              <w:jc w:val="center"/>
              <w:ind w:left="12"/>
              <w:spacing w:after="0"/>
              <w:rPr>
                <w:sz w:val="20"/>
                <w:szCs w:val="20"/>
                <w:color w:val="auto"/>
              </w:rPr>
            </w:pPr>
            <w:r>
              <w:rPr>
                <w:rFonts w:ascii="Arial" w:cs="Arial" w:eastAsia="Arial" w:hAnsi="Arial"/>
                <w:sz w:val="18"/>
                <w:szCs w:val="18"/>
                <w:color w:val="auto"/>
                <w:w w:val="97"/>
              </w:rPr>
              <w:t>to peer group</w:t>
            </w:r>
          </w:p>
        </w:tc>
        <w:tc>
          <w:tcPr>
            <w:tcW w:w="1820" w:type="dxa"/>
            <w:vAlign w:val="bottom"/>
            <w:tcBorders>
              <w:right w:val="single" w:sz="8" w:color="47829E"/>
            </w:tcBorders>
          </w:tcPr>
          <w:p>
            <w:pPr>
              <w:spacing w:after="0"/>
              <w:rPr>
                <w:sz w:val="10"/>
                <w:szCs w:val="10"/>
                <w:color w:val="auto"/>
              </w:rPr>
            </w:pPr>
          </w:p>
        </w:tc>
        <w:tc>
          <w:tcPr>
            <w:tcW w:w="2760" w:type="dxa"/>
            <w:vAlign w:val="bottom"/>
            <w:tcBorders>
              <w:right w:val="single" w:sz="8" w:color="47829E"/>
            </w:tcBorders>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tcBorders>
              <w:left w:val="single" w:sz="8" w:color="47829E"/>
              <w:right w:val="single" w:sz="8" w:color="47829E"/>
            </w:tcBorders>
          </w:tcPr>
          <w:p>
            <w:pPr>
              <w:spacing w:after="0"/>
              <w:rPr>
                <w:sz w:val="8"/>
                <w:szCs w:val="8"/>
                <w:color w:val="auto"/>
              </w:rPr>
            </w:pPr>
          </w:p>
        </w:tc>
        <w:tc>
          <w:tcPr>
            <w:tcW w:w="2520" w:type="dxa"/>
            <w:vAlign w:val="bottom"/>
            <w:tcBorders>
              <w:right w:val="single" w:sz="8" w:color="47829E"/>
            </w:tcBorders>
          </w:tcPr>
          <w:p>
            <w:pPr>
              <w:spacing w:after="0"/>
              <w:rPr>
                <w:sz w:val="8"/>
                <w:szCs w:val="8"/>
                <w:color w:val="auto"/>
              </w:rPr>
            </w:pPr>
          </w:p>
        </w:tc>
        <w:tc>
          <w:tcPr>
            <w:tcW w:w="2620" w:type="dxa"/>
            <w:vAlign w:val="bottom"/>
            <w:tcBorders>
              <w:right w:val="single" w:sz="8" w:color="47829E"/>
            </w:tcBorders>
            <w:vMerge w:val="continue"/>
          </w:tcPr>
          <w:p>
            <w:pPr>
              <w:spacing w:after="0"/>
              <w:rPr>
                <w:sz w:val="8"/>
                <w:szCs w:val="8"/>
                <w:color w:val="auto"/>
              </w:rPr>
            </w:pPr>
          </w:p>
        </w:tc>
        <w:tc>
          <w:tcPr>
            <w:tcW w:w="1820" w:type="dxa"/>
            <w:vAlign w:val="bottom"/>
            <w:tcBorders>
              <w:right w:val="single" w:sz="8" w:color="47829E"/>
            </w:tcBorders>
          </w:tcPr>
          <w:p>
            <w:pPr>
              <w:spacing w:after="0"/>
              <w:rPr>
                <w:sz w:val="8"/>
                <w:szCs w:val="8"/>
                <w:color w:val="auto"/>
              </w:rPr>
            </w:pPr>
          </w:p>
        </w:tc>
        <w:tc>
          <w:tcPr>
            <w:tcW w:w="2760" w:type="dxa"/>
            <w:vAlign w:val="bottom"/>
            <w:tcBorders>
              <w:right w:val="single" w:sz="8" w:color="47829E"/>
            </w:tcBorders>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720" w:type="dxa"/>
            <w:vAlign w:val="bottom"/>
            <w:tcBorders>
              <w:left w:val="single" w:sz="8" w:color="47829E"/>
              <w:right w:val="single" w:sz="8" w:color="47829E"/>
            </w:tcBorders>
            <w:shd w:val="clear" w:color="auto" w:fill="E3ECF0"/>
          </w:tcPr>
          <w:p>
            <w:pPr>
              <w:spacing w:after="0"/>
              <w:rPr>
                <w:sz w:val="17"/>
                <w:szCs w:val="17"/>
                <w:color w:val="auto"/>
              </w:rPr>
            </w:pPr>
          </w:p>
        </w:tc>
        <w:tc>
          <w:tcPr>
            <w:tcW w:w="2520" w:type="dxa"/>
            <w:vAlign w:val="bottom"/>
            <w:tcBorders>
              <w:right w:val="single" w:sz="8" w:color="47829E"/>
            </w:tcBorders>
            <w:shd w:val="clear" w:color="auto" w:fill="E3ECF0"/>
          </w:tcPr>
          <w:p>
            <w:pPr>
              <w:jc w:val="center"/>
              <w:ind w:left="12"/>
              <w:spacing w:after="0"/>
              <w:rPr>
                <w:sz w:val="20"/>
                <w:szCs w:val="20"/>
                <w:color w:val="auto"/>
              </w:rPr>
            </w:pPr>
            <w:r>
              <w:rPr>
                <w:rFonts w:ascii="Arial" w:cs="Arial" w:eastAsia="Arial" w:hAnsi="Arial"/>
                <w:sz w:val="18"/>
                <w:szCs w:val="18"/>
                <w:color w:val="auto"/>
                <w:w w:val="97"/>
              </w:rPr>
              <w:t>Replaced in 2014 by PSUs.</w:t>
            </w:r>
          </w:p>
        </w:tc>
        <w:tc>
          <w:tcPr>
            <w:tcW w:w="2620" w:type="dxa"/>
            <w:vAlign w:val="bottom"/>
            <w:tcBorders>
              <w:right w:val="single" w:sz="8" w:color="47829E"/>
            </w:tcBorders>
            <w:shd w:val="clear" w:color="auto" w:fill="E3ECF0"/>
          </w:tcPr>
          <w:p>
            <w:pPr>
              <w:spacing w:after="0"/>
              <w:rPr>
                <w:sz w:val="17"/>
                <w:szCs w:val="17"/>
                <w:color w:val="auto"/>
              </w:rPr>
            </w:pPr>
          </w:p>
        </w:tc>
        <w:tc>
          <w:tcPr>
            <w:tcW w:w="1820" w:type="dxa"/>
            <w:vAlign w:val="bottom"/>
            <w:tcBorders>
              <w:right w:val="single" w:sz="8" w:color="47829E"/>
            </w:tcBorders>
            <w:shd w:val="clear" w:color="auto" w:fill="E3ECF0"/>
          </w:tcPr>
          <w:p>
            <w:pPr>
              <w:spacing w:after="0"/>
              <w:rPr>
                <w:sz w:val="17"/>
                <w:szCs w:val="17"/>
                <w:color w:val="auto"/>
              </w:rPr>
            </w:pPr>
          </w:p>
        </w:tc>
        <w:tc>
          <w:tcPr>
            <w:tcW w:w="2760" w:type="dxa"/>
            <w:vAlign w:val="bottom"/>
            <w:tcBorders>
              <w:right w:val="single" w:sz="8" w:color="47829E"/>
            </w:tcBorders>
            <w:shd w:val="clear" w:color="auto" w:fill="E3ECF0"/>
          </w:tcPr>
          <w:p>
            <w:pPr>
              <w:jc w:val="center"/>
              <w:spacing w:after="0"/>
              <w:rPr>
                <w:sz w:val="20"/>
                <w:szCs w:val="20"/>
                <w:color w:val="auto"/>
              </w:rPr>
            </w:pPr>
            <w:r>
              <w:rPr>
                <w:rFonts w:ascii="Arial" w:cs="Arial" w:eastAsia="Arial" w:hAnsi="Arial"/>
                <w:sz w:val="18"/>
                <w:szCs w:val="18"/>
                <w:color w:val="auto"/>
                <w:w w:val="96"/>
              </w:rPr>
              <w:t>TSR as compared to</w:t>
            </w:r>
          </w:p>
        </w:tc>
        <w:tc>
          <w:tcPr>
            <w:tcW w:w="0" w:type="dxa"/>
            <w:vAlign w:val="bottom"/>
          </w:tcPr>
          <w:p>
            <w:pPr>
              <w:spacing w:after="0"/>
              <w:rPr>
                <w:sz w:val="1"/>
                <w:szCs w:val="1"/>
                <w:color w:val="auto"/>
              </w:rPr>
            </w:pPr>
          </w:p>
        </w:tc>
      </w:tr>
      <w:tr>
        <w:trPr>
          <w:trHeight w:val="203"/>
        </w:trPr>
        <w:tc>
          <w:tcPr>
            <w:tcW w:w="1720" w:type="dxa"/>
            <w:vAlign w:val="bottom"/>
            <w:tcBorders>
              <w:left w:val="single" w:sz="8" w:color="47829E"/>
              <w:righ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SVAP (2013)</w:t>
            </w:r>
          </w:p>
        </w:tc>
        <w:tc>
          <w:tcPr>
            <w:tcW w:w="2520" w:type="dxa"/>
            <w:vAlign w:val="bottom"/>
            <w:tcBorders>
              <w:right w:val="single" w:sz="8" w:color="47829E"/>
            </w:tcBorders>
            <w:shd w:val="clear" w:color="auto" w:fill="E3ECF0"/>
          </w:tcPr>
          <w:p>
            <w:pPr>
              <w:jc w:val="center"/>
              <w:ind w:left="12"/>
              <w:spacing w:after="0" w:line="202" w:lineRule="exact"/>
              <w:rPr>
                <w:sz w:val="20"/>
                <w:szCs w:val="20"/>
                <w:color w:val="auto"/>
              </w:rPr>
            </w:pPr>
            <w:r>
              <w:rPr>
                <w:rFonts w:ascii="Arial" w:cs="Arial" w:eastAsia="Arial" w:hAnsi="Arial"/>
                <w:sz w:val="18"/>
                <w:szCs w:val="18"/>
                <w:color w:val="auto"/>
                <w:w w:val="95"/>
              </w:rPr>
              <w:t>Target is 40%</w:t>
            </w:r>
          </w:p>
        </w:tc>
        <w:tc>
          <w:tcPr>
            <w:tcW w:w="2620" w:type="dxa"/>
            <w:vAlign w:val="bottom"/>
            <w:tcBorders>
              <w:right w:val="single" w:sz="8" w:color="47829E"/>
            </w:tcBorders>
            <w:shd w:val="clear" w:color="auto" w:fill="E3ECF0"/>
          </w:tcPr>
          <w:p>
            <w:pPr>
              <w:jc w:val="center"/>
              <w:spacing w:after="0" w:line="202" w:lineRule="exact"/>
              <w:rPr>
                <w:sz w:val="20"/>
                <w:szCs w:val="20"/>
                <w:color w:val="auto"/>
              </w:rPr>
            </w:pPr>
            <w:r>
              <w:rPr>
                <w:rFonts w:ascii="Arial" w:cs="Arial" w:eastAsia="Arial" w:hAnsi="Arial"/>
                <w:sz w:val="18"/>
                <w:szCs w:val="18"/>
                <w:color w:val="auto"/>
                <w:w w:val="99"/>
              </w:rPr>
              <w:t>N/A</w:t>
            </w:r>
          </w:p>
        </w:tc>
        <w:tc>
          <w:tcPr>
            <w:tcW w:w="1820" w:type="dxa"/>
            <w:vAlign w:val="bottom"/>
            <w:tcBorders>
              <w:right w:val="single" w:sz="8" w:color="47829E"/>
            </w:tcBorders>
            <w:shd w:val="clear" w:color="auto" w:fill="E3ECF0"/>
          </w:tcPr>
          <w:p>
            <w:pPr>
              <w:jc w:val="center"/>
              <w:ind w:left="12"/>
              <w:spacing w:after="0" w:line="202" w:lineRule="exact"/>
              <w:rPr>
                <w:sz w:val="20"/>
                <w:szCs w:val="20"/>
                <w:color w:val="auto"/>
              </w:rPr>
            </w:pPr>
            <w:r>
              <w:rPr>
                <w:rFonts w:ascii="Arial" w:cs="Arial" w:eastAsia="Arial" w:hAnsi="Arial"/>
                <w:sz w:val="18"/>
                <w:szCs w:val="18"/>
                <w:color w:val="auto"/>
                <w:w w:val="97"/>
              </w:rPr>
              <w:t>No award granted</w:t>
            </w:r>
          </w:p>
        </w:tc>
        <w:tc>
          <w:tcPr>
            <w:tcW w:w="2760" w:type="dxa"/>
            <w:vAlign w:val="bottom"/>
            <w:tcBorders>
              <w:right w:val="single" w:sz="8" w:color="47829E"/>
            </w:tcBorders>
            <w:shd w:val="clear" w:color="auto" w:fill="E3ECF0"/>
          </w:tcPr>
          <w:p>
            <w:pPr>
              <w:jc w:val="center"/>
              <w:spacing w:after="0" w:line="202" w:lineRule="exact"/>
              <w:rPr>
                <w:sz w:val="20"/>
                <w:szCs w:val="20"/>
                <w:color w:val="auto"/>
              </w:rPr>
            </w:pPr>
            <w:r>
              <w:rPr>
                <w:rFonts w:ascii="Arial" w:cs="Arial" w:eastAsia="Arial" w:hAnsi="Arial"/>
                <w:sz w:val="18"/>
                <w:szCs w:val="18"/>
                <w:color w:val="auto"/>
                <w:w w:val="96"/>
              </w:rPr>
              <w:t>S&amp;P 400 Midcap and</w:t>
            </w:r>
          </w:p>
        </w:tc>
        <w:tc>
          <w:tcPr>
            <w:tcW w:w="0" w:type="dxa"/>
            <w:vAlign w:val="bottom"/>
          </w:tcPr>
          <w:p>
            <w:pPr>
              <w:spacing w:after="0"/>
              <w:rPr>
                <w:sz w:val="1"/>
                <w:szCs w:val="1"/>
                <w:color w:val="auto"/>
              </w:rPr>
            </w:pPr>
          </w:p>
        </w:tc>
      </w:tr>
      <w:tr>
        <w:trPr>
          <w:trHeight w:val="213"/>
        </w:trPr>
        <w:tc>
          <w:tcPr>
            <w:tcW w:w="1720" w:type="dxa"/>
            <w:vAlign w:val="bottom"/>
            <w:tcBorders>
              <w:left w:val="single" w:sz="8" w:color="47829E"/>
              <w:right w:val="single" w:sz="8" w:color="47829E"/>
            </w:tcBorders>
            <w:shd w:val="clear" w:color="auto" w:fill="E3ECF0"/>
          </w:tcPr>
          <w:p>
            <w:pPr>
              <w:spacing w:after="0"/>
              <w:rPr>
                <w:sz w:val="18"/>
                <w:szCs w:val="18"/>
                <w:color w:val="auto"/>
              </w:rPr>
            </w:pPr>
          </w:p>
        </w:tc>
        <w:tc>
          <w:tcPr>
            <w:tcW w:w="2520" w:type="dxa"/>
            <w:vAlign w:val="bottom"/>
            <w:tcBorders>
              <w:right w:val="single" w:sz="8" w:color="47829E"/>
            </w:tcBorders>
            <w:shd w:val="clear" w:color="auto" w:fill="E3ECF0"/>
          </w:tcPr>
          <w:p>
            <w:pPr>
              <w:jc w:val="center"/>
              <w:ind w:left="12"/>
              <w:spacing w:after="0"/>
              <w:rPr>
                <w:sz w:val="20"/>
                <w:szCs w:val="20"/>
                <w:color w:val="auto"/>
              </w:rPr>
            </w:pPr>
            <w:r>
              <w:rPr>
                <w:rFonts w:ascii="Arial" w:cs="Arial" w:eastAsia="Arial" w:hAnsi="Arial"/>
                <w:sz w:val="18"/>
                <w:szCs w:val="18"/>
                <w:color w:val="auto"/>
                <w:w w:val="97"/>
              </w:rPr>
              <w:t>of base salary.</w:t>
            </w:r>
          </w:p>
        </w:tc>
        <w:tc>
          <w:tcPr>
            <w:tcW w:w="2620" w:type="dxa"/>
            <w:vAlign w:val="bottom"/>
            <w:tcBorders>
              <w:right w:val="single" w:sz="8" w:color="47829E"/>
            </w:tcBorders>
            <w:shd w:val="clear" w:color="auto" w:fill="E3ECF0"/>
          </w:tcPr>
          <w:p>
            <w:pPr>
              <w:spacing w:after="0"/>
              <w:rPr>
                <w:sz w:val="18"/>
                <w:szCs w:val="18"/>
                <w:color w:val="auto"/>
              </w:rPr>
            </w:pPr>
          </w:p>
        </w:tc>
        <w:tc>
          <w:tcPr>
            <w:tcW w:w="1820" w:type="dxa"/>
            <w:vAlign w:val="bottom"/>
            <w:tcBorders>
              <w:right w:val="single" w:sz="8" w:color="47829E"/>
            </w:tcBorders>
            <w:shd w:val="clear" w:color="auto" w:fill="E3ECF0"/>
          </w:tcPr>
          <w:p>
            <w:pPr>
              <w:spacing w:after="0"/>
              <w:rPr>
                <w:sz w:val="18"/>
                <w:szCs w:val="18"/>
                <w:color w:val="auto"/>
              </w:rPr>
            </w:pPr>
          </w:p>
        </w:tc>
        <w:tc>
          <w:tcPr>
            <w:tcW w:w="2760" w:type="dxa"/>
            <w:vAlign w:val="bottom"/>
            <w:tcBorders>
              <w:right w:val="single" w:sz="8" w:color="47829E"/>
            </w:tcBorders>
            <w:shd w:val="clear" w:color="auto" w:fill="E3ECF0"/>
          </w:tcPr>
          <w:p>
            <w:pPr>
              <w:jc w:val="center"/>
              <w:spacing w:after="0"/>
              <w:rPr>
                <w:sz w:val="20"/>
                <w:szCs w:val="20"/>
                <w:color w:val="auto"/>
              </w:rPr>
            </w:pPr>
            <w:r>
              <w:rPr>
                <w:rFonts w:ascii="Arial" w:cs="Arial" w:eastAsia="Arial" w:hAnsi="Arial"/>
                <w:sz w:val="18"/>
                <w:szCs w:val="18"/>
                <w:color w:val="auto"/>
                <w:w w:val="98"/>
              </w:rPr>
              <w:t>S&amp;P 1500 Basic Materials</w:t>
            </w:r>
          </w:p>
        </w:tc>
        <w:tc>
          <w:tcPr>
            <w:tcW w:w="0" w:type="dxa"/>
            <w:vAlign w:val="bottom"/>
          </w:tcPr>
          <w:p>
            <w:pPr>
              <w:spacing w:after="0"/>
              <w:rPr>
                <w:sz w:val="1"/>
                <w:szCs w:val="1"/>
                <w:color w:val="auto"/>
              </w:rPr>
            </w:pPr>
          </w:p>
        </w:tc>
      </w:tr>
      <w:tr>
        <w:trPr>
          <w:trHeight w:val="206"/>
        </w:trPr>
        <w:tc>
          <w:tcPr>
            <w:tcW w:w="1720" w:type="dxa"/>
            <w:vAlign w:val="bottom"/>
            <w:tcBorders>
              <w:left w:val="single" w:sz="8" w:color="47829E"/>
              <w:right w:val="single" w:sz="8" w:color="47829E"/>
            </w:tcBorders>
          </w:tcPr>
          <w:p>
            <w:pPr>
              <w:spacing w:after="0"/>
              <w:rPr>
                <w:sz w:val="17"/>
                <w:szCs w:val="17"/>
                <w:color w:val="auto"/>
              </w:rPr>
            </w:pPr>
          </w:p>
        </w:tc>
        <w:tc>
          <w:tcPr>
            <w:tcW w:w="2520" w:type="dxa"/>
            <w:vAlign w:val="bottom"/>
            <w:tcBorders>
              <w:right w:val="single" w:sz="8" w:color="47829E"/>
            </w:tcBorders>
          </w:tcPr>
          <w:p>
            <w:pPr>
              <w:jc w:val="center"/>
              <w:ind w:left="12"/>
              <w:spacing w:after="0" w:line="206" w:lineRule="exact"/>
              <w:rPr>
                <w:sz w:val="20"/>
                <w:szCs w:val="20"/>
                <w:color w:val="auto"/>
              </w:rPr>
            </w:pPr>
            <w:r>
              <w:rPr>
                <w:rFonts w:ascii="Arial" w:cs="Arial" w:eastAsia="Arial" w:hAnsi="Arial"/>
                <w:sz w:val="18"/>
                <w:szCs w:val="18"/>
                <w:color w:val="auto"/>
                <w:w w:val="96"/>
              </w:rPr>
              <w:t>Award in 2014 = 68.75% of</w:t>
            </w:r>
          </w:p>
        </w:tc>
        <w:tc>
          <w:tcPr>
            <w:tcW w:w="2620" w:type="dxa"/>
            <w:vAlign w:val="bottom"/>
            <w:tcBorders>
              <w:right w:val="single" w:sz="8" w:color="47829E"/>
            </w:tcBorders>
          </w:tcPr>
          <w:p>
            <w:pPr>
              <w:spacing w:after="0"/>
              <w:rPr>
                <w:sz w:val="17"/>
                <w:szCs w:val="17"/>
                <w:color w:val="auto"/>
              </w:rPr>
            </w:pPr>
          </w:p>
        </w:tc>
        <w:tc>
          <w:tcPr>
            <w:tcW w:w="1820" w:type="dxa"/>
            <w:vAlign w:val="bottom"/>
            <w:tcBorders>
              <w:right w:val="single" w:sz="8" w:color="47829E"/>
            </w:tcBorders>
          </w:tcPr>
          <w:p>
            <w:pPr>
              <w:spacing w:after="0"/>
              <w:rPr>
                <w:sz w:val="17"/>
                <w:szCs w:val="17"/>
                <w:color w:val="auto"/>
              </w:rPr>
            </w:pPr>
          </w:p>
        </w:tc>
        <w:tc>
          <w:tcPr>
            <w:tcW w:w="2760" w:type="dxa"/>
            <w:vAlign w:val="bottom"/>
            <w:tcBorders>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Borders>
              <w:left w:val="single" w:sz="8" w:color="47829E"/>
              <w:right w:val="single" w:sz="8" w:color="47829E"/>
            </w:tcBorders>
          </w:tcPr>
          <w:p>
            <w:pPr>
              <w:spacing w:after="0"/>
              <w:rPr>
                <w:sz w:val="17"/>
                <w:szCs w:val="17"/>
                <w:color w:val="auto"/>
              </w:rPr>
            </w:pPr>
          </w:p>
        </w:tc>
        <w:tc>
          <w:tcPr>
            <w:tcW w:w="2520" w:type="dxa"/>
            <w:vAlign w:val="bottom"/>
            <w:tcBorders>
              <w:right w:val="single" w:sz="8" w:color="47829E"/>
            </w:tcBorders>
          </w:tcPr>
          <w:p>
            <w:pPr>
              <w:jc w:val="center"/>
              <w:ind w:left="12"/>
              <w:spacing w:after="0" w:line="202" w:lineRule="exact"/>
              <w:rPr>
                <w:sz w:val="20"/>
                <w:szCs w:val="20"/>
                <w:color w:val="auto"/>
              </w:rPr>
            </w:pPr>
            <w:r>
              <w:rPr>
                <w:rFonts w:ascii="Arial" w:cs="Arial" w:eastAsia="Arial" w:hAnsi="Arial"/>
                <w:sz w:val="18"/>
                <w:szCs w:val="18"/>
                <w:color w:val="auto"/>
                <w:w w:val="93"/>
              </w:rPr>
              <w:t>Target. Total LTIP Target</w:t>
            </w:r>
          </w:p>
        </w:tc>
        <w:tc>
          <w:tcPr>
            <w:tcW w:w="2620" w:type="dxa"/>
            <w:vAlign w:val="bottom"/>
            <w:tcBorders>
              <w:right w:val="single" w:sz="8" w:color="47829E"/>
            </w:tcBorders>
          </w:tcPr>
          <w:p>
            <w:pPr>
              <w:jc w:val="center"/>
              <w:spacing w:after="0" w:line="202" w:lineRule="exact"/>
              <w:rPr>
                <w:sz w:val="20"/>
                <w:szCs w:val="20"/>
                <w:color w:val="auto"/>
              </w:rPr>
            </w:pPr>
            <w:r>
              <w:rPr>
                <w:rFonts w:ascii="Arial" w:cs="Arial" w:eastAsia="Arial" w:hAnsi="Arial"/>
                <w:sz w:val="18"/>
                <w:szCs w:val="18"/>
                <w:color w:val="auto"/>
                <w:w w:val="97"/>
              </w:rPr>
              <w:t>Return, Growth, Cash Flow and</w:t>
            </w:r>
          </w:p>
        </w:tc>
        <w:tc>
          <w:tcPr>
            <w:tcW w:w="1820" w:type="dxa"/>
            <w:vAlign w:val="bottom"/>
            <w:tcBorders>
              <w:right w:val="single" w:sz="8" w:color="47829E"/>
            </w:tcBorders>
          </w:tcPr>
          <w:p>
            <w:pPr>
              <w:spacing w:after="0"/>
              <w:rPr>
                <w:sz w:val="17"/>
                <w:szCs w:val="17"/>
                <w:color w:val="auto"/>
              </w:rPr>
            </w:pPr>
          </w:p>
        </w:tc>
        <w:tc>
          <w:tcPr>
            <w:tcW w:w="2760" w:type="dxa"/>
            <w:vAlign w:val="bottom"/>
            <w:tcBorders>
              <w:right w:val="single" w:sz="8" w:color="47829E"/>
            </w:tcBorders>
          </w:tcPr>
          <w:p>
            <w:pPr>
              <w:jc w:val="center"/>
              <w:spacing w:after="0" w:line="202" w:lineRule="exact"/>
              <w:rPr>
                <w:sz w:val="20"/>
                <w:szCs w:val="20"/>
                <w:color w:val="auto"/>
              </w:rPr>
            </w:pPr>
            <w:r>
              <w:rPr>
                <w:rFonts w:ascii="Arial" w:cs="Arial" w:eastAsia="Arial" w:hAnsi="Arial"/>
                <w:sz w:val="18"/>
                <w:szCs w:val="18"/>
                <w:color w:val="auto"/>
                <w:w w:val="97"/>
              </w:rPr>
              <w:t>Return, Growth, Cash Flow and</w:t>
            </w:r>
          </w:p>
        </w:tc>
        <w:tc>
          <w:tcPr>
            <w:tcW w:w="0" w:type="dxa"/>
            <w:vAlign w:val="bottom"/>
          </w:tcPr>
          <w:p>
            <w:pPr>
              <w:spacing w:after="0"/>
              <w:rPr>
                <w:sz w:val="1"/>
                <w:szCs w:val="1"/>
                <w:color w:val="auto"/>
              </w:rPr>
            </w:pPr>
          </w:p>
        </w:tc>
      </w:tr>
      <w:tr>
        <w:trPr>
          <w:trHeight w:val="203"/>
        </w:trPr>
        <w:tc>
          <w:tcPr>
            <w:tcW w:w="172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LTIP Options</w:t>
            </w:r>
          </w:p>
        </w:tc>
        <w:tc>
          <w:tcPr>
            <w:tcW w:w="2520" w:type="dxa"/>
            <w:vAlign w:val="bottom"/>
            <w:tcBorders>
              <w:right w:val="single" w:sz="8" w:color="47829E"/>
            </w:tcBorders>
          </w:tcPr>
          <w:p>
            <w:pPr>
              <w:jc w:val="center"/>
              <w:ind w:left="12"/>
              <w:spacing w:after="0" w:line="202" w:lineRule="exact"/>
              <w:rPr>
                <w:sz w:val="20"/>
                <w:szCs w:val="20"/>
                <w:color w:val="auto"/>
              </w:rPr>
            </w:pPr>
            <w:r>
              <w:rPr>
                <w:rFonts w:ascii="Arial" w:cs="Arial" w:eastAsia="Arial" w:hAnsi="Arial"/>
                <w:sz w:val="18"/>
                <w:szCs w:val="18"/>
                <w:color w:val="auto"/>
                <w:w w:val="97"/>
              </w:rPr>
              <w:t>(Options and RSUs) is</w:t>
            </w:r>
          </w:p>
        </w:tc>
        <w:tc>
          <w:tcPr>
            <w:tcW w:w="2620" w:type="dxa"/>
            <w:vAlign w:val="bottom"/>
            <w:tcBorders>
              <w:right w:val="single" w:sz="8" w:color="47829E"/>
            </w:tcBorders>
          </w:tcPr>
          <w:p>
            <w:pPr>
              <w:jc w:val="center"/>
              <w:ind w:left="12"/>
              <w:spacing w:after="0" w:line="202" w:lineRule="exact"/>
              <w:rPr>
                <w:sz w:val="20"/>
                <w:szCs w:val="20"/>
                <w:color w:val="auto"/>
              </w:rPr>
            </w:pPr>
            <w:r>
              <w:rPr>
                <w:rFonts w:ascii="Arial" w:cs="Arial" w:eastAsia="Arial" w:hAnsi="Arial"/>
                <w:sz w:val="18"/>
                <w:szCs w:val="18"/>
                <w:color w:val="auto"/>
                <w:w w:val="96"/>
              </w:rPr>
              <w:t>EBIDTA as compared to</w:t>
            </w:r>
          </w:p>
        </w:tc>
        <w:tc>
          <w:tcPr>
            <w:tcW w:w="1820" w:type="dxa"/>
            <w:vAlign w:val="bottom"/>
            <w:tcBorders>
              <w:right w:val="single" w:sz="8" w:color="47829E"/>
            </w:tcBorders>
          </w:tcPr>
          <w:p>
            <w:pPr>
              <w:jc w:val="center"/>
              <w:ind w:left="12"/>
              <w:spacing w:after="0" w:line="202" w:lineRule="exact"/>
              <w:rPr>
                <w:sz w:val="20"/>
                <w:szCs w:val="20"/>
                <w:color w:val="auto"/>
              </w:rPr>
            </w:pPr>
            <w:r>
              <w:rPr>
                <w:rFonts w:ascii="Arial" w:cs="Arial" w:eastAsia="Arial" w:hAnsi="Arial"/>
                <w:sz w:val="18"/>
                <w:szCs w:val="18"/>
                <w:color w:val="auto"/>
                <w:w w:val="95"/>
              </w:rPr>
              <w:t>67.50% of Target</w:t>
            </w:r>
          </w:p>
        </w:tc>
        <w:tc>
          <w:tcPr>
            <w:tcW w:w="2760" w:type="dxa"/>
            <w:vAlign w:val="bottom"/>
            <w:tcBorders>
              <w:right w:val="single" w:sz="8" w:color="47829E"/>
            </w:tcBorders>
          </w:tcPr>
          <w:p>
            <w:pPr>
              <w:jc w:val="center"/>
              <w:spacing w:after="0" w:line="202" w:lineRule="exact"/>
              <w:rPr>
                <w:sz w:val="20"/>
                <w:szCs w:val="20"/>
                <w:color w:val="auto"/>
              </w:rPr>
            </w:pPr>
            <w:r>
              <w:rPr>
                <w:rFonts w:ascii="Arial" w:cs="Arial" w:eastAsia="Arial" w:hAnsi="Arial"/>
                <w:sz w:val="18"/>
                <w:szCs w:val="18"/>
                <w:color w:val="auto"/>
                <w:w w:val="96"/>
              </w:rPr>
              <w:t>EBIDTA as compared to</w:t>
            </w:r>
          </w:p>
        </w:tc>
        <w:tc>
          <w:tcPr>
            <w:tcW w:w="0" w:type="dxa"/>
            <w:vAlign w:val="bottom"/>
          </w:tcPr>
          <w:p>
            <w:pPr>
              <w:spacing w:after="0"/>
              <w:rPr>
                <w:sz w:val="1"/>
                <w:szCs w:val="1"/>
                <w:color w:val="auto"/>
              </w:rPr>
            </w:pPr>
          </w:p>
        </w:tc>
      </w:tr>
      <w:tr>
        <w:trPr>
          <w:trHeight w:val="203"/>
        </w:trPr>
        <w:tc>
          <w:tcPr>
            <w:tcW w:w="1720" w:type="dxa"/>
            <w:vAlign w:val="bottom"/>
            <w:tcBorders>
              <w:left w:val="single" w:sz="8" w:color="47829E"/>
              <w:right w:val="single" w:sz="8" w:color="47829E"/>
            </w:tcBorders>
          </w:tcPr>
          <w:p>
            <w:pPr>
              <w:spacing w:after="0"/>
              <w:rPr>
                <w:sz w:val="17"/>
                <w:szCs w:val="17"/>
                <w:color w:val="auto"/>
              </w:rPr>
            </w:pPr>
          </w:p>
        </w:tc>
        <w:tc>
          <w:tcPr>
            <w:tcW w:w="2520" w:type="dxa"/>
            <w:vAlign w:val="bottom"/>
            <w:tcBorders>
              <w:right w:val="single" w:sz="8" w:color="47829E"/>
            </w:tcBorders>
          </w:tcPr>
          <w:p>
            <w:pPr>
              <w:jc w:val="center"/>
              <w:spacing w:after="0" w:line="202" w:lineRule="exact"/>
              <w:rPr>
                <w:sz w:val="20"/>
                <w:szCs w:val="20"/>
                <w:color w:val="auto"/>
              </w:rPr>
            </w:pPr>
            <w:r>
              <w:rPr>
                <w:rFonts w:ascii="Arial" w:cs="Arial" w:eastAsia="Arial" w:hAnsi="Arial"/>
                <w:sz w:val="18"/>
                <w:szCs w:val="18"/>
                <w:color w:val="auto"/>
                <w:w w:val="97"/>
              </w:rPr>
              <w:t>between 65%-200% of base</w:t>
            </w:r>
          </w:p>
        </w:tc>
        <w:tc>
          <w:tcPr>
            <w:tcW w:w="2620" w:type="dxa"/>
            <w:vAlign w:val="bottom"/>
            <w:tcBorders>
              <w:right w:val="single" w:sz="8" w:color="47829E"/>
            </w:tcBorders>
          </w:tcPr>
          <w:p>
            <w:pPr>
              <w:jc w:val="center"/>
              <w:ind w:left="12"/>
              <w:spacing w:after="0" w:line="202" w:lineRule="exact"/>
              <w:rPr>
                <w:sz w:val="20"/>
                <w:szCs w:val="20"/>
                <w:color w:val="auto"/>
              </w:rPr>
            </w:pPr>
            <w:r>
              <w:rPr>
                <w:rFonts w:ascii="Arial" w:cs="Arial" w:eastAsia="Arial" w:hAnsi="Arial"/>
                <w:sz w:val="18"/>
                <w:szCs w:val="18"/>
                <w:color w:val="auto"/>
                <w:w w:val="97"/>
              </w:rPr>
              <w:t>Performance Peer Group</w:t>
            </w:r>
          </w:p>
        </w:tc>
        <w:tc>
          <w:tcPr>
            <w:tcW w:w="1820" w:type="dxa"/>
            <w:vAlign w:val="bottom"/>
            <w:tcBorders>
              <w:right w:val="single" w:sz="8" w:color="47829E"/>
            </w:tcBorders>
          </w:tcPr>
          <w:p>
            <w:pPr>
              <w:spacing w:after="0"/>
              <w:rPr>
                <w:sz w:val="17"/>
                <w:szCs w:val="17"/>
                <w:color w:val="auto"/>
              </w:rPr>
            </w:pPr>
          </w:p>
        </w:tc>
        <w:tc>
          <w:tcPr>
            <w:tcW w:w="2760" w:type="dxa"/>
            <w:vAlign w:val="bottom"/>
            <w:tcBorders>
              <w:right w:val="single" w:sz="8" w:color="47829E"/>
            </w:tcBorders>
          </w:tcPr>
          <w:p>
            <w:pPr>
              <w:jc w:val="center"/>
              <w:spacing w:after="0" w:line="202" w:lineRule="exact"/>
              <w:rPr>
                <w:sz w:val="20"/>
                <w:szCs w:val="20"/>
                <w:color w:val="auto"/>
              </w:rPr>
            </w:pPr>
            <w:r>
              <w:rPr>
                <w:rFonts w:ascii="Arial" w:cs="Arial" w:eastAsia="Arial" w:hAnsi="Arial"/>
                <w:sz w:val="18"/>
                <w:szCs w:val="18"/>
                <w:color w:val="auto"/>
                <w:w w:val="97"/>
              </w:rPr>
              <w:t>Performance Peer Group</w:t>
            </w:r>
          </w:p>
        </w:tc>
        <w:tc>
          <w:tcPr>
            <w:tcW w:w="0" w:type="dxa"/>
            <w:vAlign w:val="bottom"/>
          </w:tcPr>
          <w:p>
            <w:pPr>
              <w:spacing w:after="0"/>
              <w:rPr>
                <w:sz w:val="1"/>
                <w:szCs w:val="1"/>
                <w:color w:val="auto"/>
              </w:rPr>
            </w:pPr>
          </w:p>
        </w:tc>
      </w:tr>
      <w:tr>
        <w:trPr>
          <w:trHeight w:val="199"/>
        </w:trPr>
        <w:tc>
          <w:tcPr>
            <w:tcW w:w="1720" w:type="dxa"/>
            <w:vAlign w:val="bottom"/>
            <w:tcBorders>
              <w:left w:val="single" w:sz="8" w:color="47829E"/>
              <w:right w:val="single" w:sz="8" w:color="47829E"/>
            </w:tcBorders>
          </w:tcPr>
          <w:p>
            <w:pPr>
              <w:spacing w:after="0"/>
              <w:rPr>
                <w:sz w:val="17"/>
                <w:szCs w:val="17"/>
                <w:color w:val="auto"/>
              </w:rPr>
            </w:pPr>
          </w:p>
        </w:tc>
        <w:tc>
          <w:tcPr>
            <w:tcW w:w="2520" w:type="dxa"/>
            <w:vAlign w:val="bottom"/>
            <w:tcBorders>
              <w:right w:val="single" w:sz="8" w:color="47829E"/>
            </w:tcBorders>
          </w:tcPr>
          <w:p>
            <w:pPr>
              <w:jc w:val="center"/>
              <w:spacing w:after="0" w:line="200" w:lineRule="exact"/>
              <w:rPr>
                <w:sz w:val="20"/>
                <w:szCs w:val="20"/>
                <w:color w:val="auto"/>
              </w:rPr>
            </w:pPr>
            <w:r>
              <w:rPr>
                <w:rFonts w:ascii="Arial" w:cs="Arial" w:eastAsia="Arial" w:hAnsi="Arial"/>
                <w:sz w:val="18"/>
                <w:szCs w:val="18"/>
                <w:color w:val="auto"/>
                <w:w w:val="97"/>
              </w:rPr>
              <w:t>depending on position.</w:t>
            </w:r>
          </w:p>
        </w:tc>
        <w:tc>
          <w:tcPr>
            <w:tcW w:w="2620" w:type="dxa"/>
            <w:vAlign w:val="bottom"/>
            <w:tcBorders>
              <w:right w:val="single" w:sz="8" w:color="47829E"/>
            </w:tcBorders>
          </w:tcPr>
          <w:p>
            <w:pPr>
              <w:spacing w:after="0"/>
              <w:rPr>
                <w:sz w:val="17"/>
                <w:szCs w:val="17"/>
                <w:color w:val="auto"/>
              </w:rPr>
            </w:pPr>
          </w:p>
        </w:tc>
        <w:tc>
          <w:tcPr>
            <w:tcW w:w="1820" w:type="dxa"/>
            <w:vAlign w:val="bottom"/>
            <w:tcBorders>
              <w:right w:val="single" w:sz="8" w:color="47829E"/>
            </w:tcBorders>
          </w:tcPr>
          <w:p>
            <w:pPr>
              <w:spacing w:after="0"/>
              <w:rPr>
                <w:sz w:val="17"/>
                <w:szCs w:val="17"/>
                <w:color w:val="auto"/>
              </w:rPr>
            </w:pPr>
          </w:p>
        </w:tc>
        <w:tc>
          <w:tcPr>
            <w:tcW w:w="2760" w:type="dxa"/>
            <w:vAlign w:val="bottom"/>
            <w:tcBorders>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20" w:type="dxa"/>
            <w:vAlign w:val="bottom"/>
            <w:tcBorders>
              <w:left w:val="single" w:sz="8" w:color="47829E"/>
              <w:right w:val="single" w:sz="8" w:color="47829E"/>
            </w:tcBorders>
            <w:shd w:val="clear" w:color="auto" w:fill="E3ECF0"/>
          </w:tcPr>
          <w:p>
            <w:pPr>
              <w:spacing w:after="0"/>
              <w:rPr>
                <w:sz w:val="17"/>
                <w:szCs w:val="17"/>
                <w:color w:val="auto"/>
              </w:rPr>
            </w:pPr>
          </w:p>
        </w:tc>
        <w:tc>
          <w:tcPr>
            <w:tcW w:w="2520" w:type="dxa"/>
            <w:vAlign w:val="bottom"/>
            <w:tcBorders>
              <w:right w:val="single" w:sz="8" w:color="47829E"/>
            </w:tcBorders>
            <w:shd w:val="clear" w:color="auto" w:fill="E3ECF0"/>
          </w:tcPr>
          <w:p>
            <w:pPr>
              <w:jc w:val="center"/>
              <w:ind w:left="12"/>
              <w:spacing w:after="0" w:line="206" w:lineRule="exact"/>
              <w:rPr>
                <w:sz w:val="20"/>
                <w:szCs w:val="20"/>
                <w:color w:val="auto"/>
              </w:rPr>
            </w:pPr>
            <w:r>
              <w:rPr>
                <w:rFonts w:ascii="Arial" w:cs="Arial" w:eastAsia="Arial" w:hAnsi="Arial"/>
                <w:sz w:val="18"/>
                <w:szCs w:val="18"/>
                <w:color w:val="auto"/>
                <w:w w:val="96"/>
              </w:rPr>
              <w:t>Award in 2014 = 68.75% of</w:t>
            </w:r>
          </w:p>
        </w:tc>
        <w:tc>
          <w:tcPr>
            <w:tcW w:w="2620" w:type="dxa"/>
            <w:vAlign w:val="bottom"/>
            <w:tcBorders>
              <w:right w:val="single" w:sz="8" w:color="47829E"/>
            </w:tcBorders>
            <w:shd w:val="clear" w:color="auto" w:fill="E3ECF0"/>
          </w:tcPr>
          <w:p>
            <w:pPr>
              <w:spacing w:after="0"/>
              <w:rPr>
                <w:sz w:val="17"/>
                <w:szCs w:val="17"/>
                <w:color w:val="auto"/>
              </w:rPr>
            </w:pPr>
          </w:p>
        </w:tc>
        <w:tc>
          <w:tcPr>
            <w:tcW w:w="1820" w:type="dxa"/>
            <w:vAlign w:val="bottom"/>
            <w:tcBorders>
              <w:right w:val="single" w:sz="8" w:color="47829E"/>
            </w:tcBorders>
            <w:shd w:val="clear" w:color="auto" w:fill="E3ECF0"/>
          </w:tcPr>
          <w:p>
            <w:pPr>
              <w:spacing w:after="0"/>
              <w:rPr>
                <w:sz w:val="17"/>
                <w:szCs w:val="17"/>
                <w:color w:val="auto"/>
              </w:rPr>
            </w:pPr>
          </w:p>
        </w:tc>
        <w:tc>
          <w:tcPr>
            <w:tcW w:w="2760" w:type="dxa"/>
            <w:vAlign w:val="bottom"/>
            <w:tcBorders>
              <w:right w:val="single" w:sz="8" w:color="47829E"/>
            </w:tcBorders>
            <w:shd w:val="clear" w:color="auto" w:fill="E3ECF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Borders>
              <w:left w:val="single" w:sz="8" w:color="47829E"/>
              <w:right w:val="single" w:sz="8" w:color="47829E"/>
            </w:tcBorders>
            <w:shd w:val="clear" w:color="auto" w:fill="E3ECF0"/>
          </w:tcPr>
          <w:p>
            <w:pPr>
              <w:spacing w:after="0"/>
              <w:rPr>
                <w:sz w:val="17"/>
                <w:szCs w:val="17"/>
                <w:color w:val="auto"/>
              </w:rPr>
            </w:pPr>
          </w:p>
        </w:tc>
        <w:tc>
          <w:tcPr>
            <w:tcW w:w="2520" w:type="dxa"/>
            <w:vAlign w:val="bottom"/>
            <w:tcBorders>
              <w:right w:val="single" w:sz="8" w:color="47829E"/>
            </w:tcBorders>
            <w:shd w:val="clear" w:color="auto" w:fill="E3ECF0"/>
          </w:tcPr>
          <w:p>
            <w:pPr>
              <w:jc w:val="center"/>
              <w:ind w:left="12"/>
              <w:spacing w:after="0" w:line="202" w:lineRule="exact"/>
              <w:rPr>
                <w:sz w:val="20"/>
                <w:szCs w:val="20"/>
                <w:color w:val="auto"/>
              </w:rPr>
            </w:pPr>
            <w:r>
              <w:rPr>
                <w:rFonts w:ascii="Arial" w:cs="Arial" w:eastAsia="Arial" w:hAnsi="Arial"/>
                <w:sz w:val="18"/>
                <w:szCs w:val="18"/>
                <w:color w:val="auto"/>
                <w:w w:val="93"/>
              </w:rPr>
              <w:t>Target. Total LTIP Target</w:t>
            </w:r>
          </w:p>
        </w:tc>
        <w:tc>
          <w:tcPr>
            <w:tcW w:w="2620" w:type="dxa"/>
            <w:vAlign w:val="bottom"/>
            <w:tcBorders>
              <w:right w:val="single" w:sz="8" w:color="47829E"/>
            </w:tcBorders>
            <w:shd w:val="clear" w:color="auto" w:fill="E3ECF0"/>
          </w:tcPr>
          <w:p>
            <w:pPr>
              <w:jc w:val="center"/>
              <w:spacing w:after="0" w:line="202" w:lineRule="exact"/>
              <w:rPr>
                <w:sz w:val="20"/>
                <w:szCs w:val="20"/>
                <w:color w:val="auto"/>
              </w:rPr>
            </w:pPr>
            <w:r>
              <w:rPr>
                <w:rFonts w:ascii="Arial" w:cs="Arial" w:eastAsia="Arial" w:hAnsi="Arial"/>
                <w:sz w:val="18"/>
                <w:szCs w:val="18"/>
                <w:color w:val="auto"/>
                <w:w w:val="97"/>
              </w:rPr>
              <w:t>Return, Growth, Cash Flow and</w:t>
            </w:r>
          </w:p>
        </w:tc>
        <w:tc>
          <w:tcPr>
            <w:tcW w:w="1820" w:type="dxa"/>
            <w:vAlign w:val="bottom"/>
            <w:tcBorders>
              <w:right w:val="single" w:sz="8" w:color="47829E"/>
            </w:tcBorders>
            <w:shd w:val="clear" w:color="auto" w:fill="E3ECF0"/>
          </w:tcPr>
          <w:p>
            <w:pPr>
              <w:spacing w:after="0"/>
              <w:rPr>
                <w:sz w:val="17"/>
                <w:szCs w:val="17"/>
                <w:color w:val="auto"/>
              </w:rPr>
            </w:pPr>
          </w:p>
        </w:tc>
        <w:tc>
          <w:tcPr>
            <w:tcW w:w="2760" w:type="dxa"/>
            <w:vAlign w:val="bottom"/>
            <w:tcBorders>
              <w:right w:val="single" w:sz="8" w:color="47829E"/>
            </w:tcBorders>
            <w:shd w:val="clear" w:color="auto" w:fill="E3ECF0"/>
          </w:tcPr>
          <w:p>
            <w:pPr>
              <w:jc w:val="center"/>
              <w:spacing w:after="0" w:line="202" w:lineRule="exact"/>
              <w:rPr>
                <w:sz w:val="20"/>
                <w:szCs w:val="20"/>
                <w:color w:val="auto"/>
              </w:rPr>
            </w:pPr>
            <w:r>
              <w:rPr>
                <w:rFonts w:ascii="Arial" w:cs="Arial" w:eastAsia="Arial" w:hAnsi="Arial"/>
                <w:sz w:val="18"/>
                <w:szCs w:val="18"/>
                <w:color w:val="auto"/>
                <w:w w:val="97"/>
              </w:rPr>
              <w:t>Return, Growth, Cash Flow and</w:t>
            </w:r>
          </w:p>
        </w:tc>
        <w:tc>
          <w:tcPr>
            <w:tcW w:w="0" w:type="dxa"/>
            <w:vAlign w:val="bottom"/>
          </w:tcPr>
          <w:p>
            <w:pPr>
              <w:spacing w:after="0"/>
              <w:rPr>
                <w:sz w:val="1"/>
                <w:szCs w:val="1"/>
                <w:color w:val="auto"/>
              </w:rPr>
            </w:pPr>
          </w:p>
        </w:tc>
      </w:tr>
      <w:tr>
        <w:trPr>
          <w:trHeight w:val="203"/>
        </w:trPr>
        <w:tc>
          <w:tcPr>
            <w:tcW w:w="1720" w:type="dxa"/>
            <w:vAlign w:val="bottom"/>
            <w:tcBorders>
              <w:left w:val="single" w:sz="8" w:color="47829E"/>
              <w:righ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LTIP RSUs</w:t>
            </w:r>
          </w:p>
        </w:tc>
        <w:tc>
          <w:tcPr>
            <w:tcW w:w="2520" w:type="dxa"/>
            <w:vAlign w:val="bottom"/>
            <w:tcBorders>
              <w:right w:val="single" w:sz="8" w:color="47829E"/>
            </w:tcBorders>
            <w:shd w:val="clear" w:color="auto" w:fill="E3ECF0"/>
          </w:tcPr>
          <w:p>
            <w:pPr>
              <w:jc w:val="center"/>
              <w:ind w:left="12"/>
              <w:spacing w:after="0" w:line="202" w:lineRule="exact"/>
              <w:rPr>
                <w:sz w:val="20"/>
                <w:szCs w:val="20"/>
                <w:color w:val="auto"/>
              </w:rPr>
            </w:pPr>
            <w:r>
              <w:rPr>
                <w:rFonts w:ascii="Arial" w:cs="Arial" w:eastAsia="Arial" w:hAnsi="Arial"/>
                <w:sz w:val="18"/>
                <w:szCs w:val="18"/>
                <w:color w:val="auto"/>
                <w:w w:val="97"/>
              </w:rPr>
              <w:t>(Options and RSUs) is</w:t>
            </w:r>
          </w:p>
        </w:tc>
        <w:tc>
          <w:tcPr>
            <w:tcW w:w="2620" w:type="dxa"/>
            <w:vAlign w:val="bottom"/>
            <w:tcBorders>
              <w:right w:val="single" w:sz="8" w:color="47829E"/>
            </w:tcBorders>
            <w:shd w:val="clear" w:color="auto" w:fill="E3ECF0"/>
          </w:tcPr>
          <w:p>
            <w:pPr>
              <w:jc w:val="center"/>
              <w:ind w:left="12"/>
              <w:spacing w:after="0" w:line="202" w:lineRule="exact"/>
              <w:rPr>
                <w:sz w:val="20"/>
                <w:szCs w:val="20"/>
                <w:color w:val="auto"/>
              </w:rPr>
            </w:pPr>
            <w:r>
              <w:rPr>
                <w:rFonts w:ascii="Arial" w:cs="Arial" w:eastAsia="Arial" w:hAnsi="Arial"/>
                <w:sz w:val="18"/>
                <w:szCs w:val="18"/>
                <w:color w:val="auto"/>
                <w:w w:val="96"/>
              </w:rPr>
              <w:t>EBIDTA as compared to</w:t>
            </w:r>
          </w:p>
        </w:tc>
        <w:tc>
          <w:tcPr>
            <w:tcW w:w="1820" w:type="dxa"/>
            <w:vAlign w:val="bottom"/>
            <w:tcBorders>
              <w:right w:val="single" w:sz="8" w:color="47829E"/>
            </w:tcBorders>
            <w:shd w:val="clear" w:color="auto" w:fill="E3ECF0"/>
          </w:tcPr>
          <w:p>
            <w:pPr>
              <w:jc w:val="center"/>
              <w:ind w:left="12"/>
              <w:spacing w:after="0" w:line="202" w:lineRule="exact"/>
              <w:rPr>
                <w:sz w:val="20"/>
                <w:szCs w:val="20"/>
                <w:color w:val="auto"/>
              </w:rPr>
            </w:pPr>
            <w:r>
              <w:rPr>
                <w:rFonts w:ascii="Arial" w:cs="Arial" w:eastAsia="Arial" w:hAnsi="Arial"/>
                <w:sz w:val="18"/>
                <w:szCs w:val="18"/>
                <w:color w:val="auto"/>
                <w:w w:val="95"/>
              </w:rPr>
              <w:t>67.50% of Target</w:t>
            </w:r>
          </w:p>
        </w:tc>
        <w:tc>
          <w:tcPr>
            <w:tcW w:w="2760" w:type="dxa"/>
            <w:vAlign w:val="bottom"/>
            <w:tcBorders>
              <w:right w:val="single" w:sz="8" w:color="47829E"/>
            </w:tcBorders>
            <w:shd w:val="clear" w:color="auto" w:fill="E3ECF0"/>
          </w:tcPr>
          <w:p>
            <w:pPr>
              <w:jc w:val="center"/>
              <w:spacing w:after="0" w:line="202" w:lineRule="exact"/>
              <w:rPr>
                <w:sz w:val="20"/>
                <w:szCs w:val="20"/>
                <w:color w:val="auto"/>
              </w:rPr>
            </w:pPr>
            <w:r>
              <w:rPr>
                <w:rFonts w:ascii="Arial" w:cs="Arial" w:eastAsia="Arial" w:hAnsi="Arial"/>
                <w:sz w:val="18"/>
                <w:szCs w:val="18"/>
                <w:color w:val="auto"/>
                <w:w w:val="96"/>
              </w:rPr>
              <w:t>EBIDTA as compared to</w:t>
            </w:r>
          </w:p>
        </w:tc>
        <w:tc>
          <w:tcPr>
            <w:tcW w:w="0" w:type="dxa"/>
            <w:vAlign w:val="bottom"/>
          </w:tcPr>
          <w:p>
            <w:pPr>
              <w:spacing w:after="0"/>
              <w:rPr>
                <w:sz w:val="1"/>
                <w:szCs w:val="1"/>
                <w:color w:val="auto"/>
              </w:rPr>
            </w:pPr>
          </w:p>
        </w:tc>
      </w:tr>
      <w:tr>
        <w:trPr>
          <w:trHeight w:val="203"/>
        </w:trPr>
        <w:tc>
          <w:tcPr>
            <w:tcW w:w="1720" w:type="dxa"/>
            <w:vAlign w:val="bottom"/>
            <w:tcBorders>
              <w:left w:val="single" w:sz="8" w:color="47829E"/>
              <w:right w:val="single" w:sz="8" w:color="47829E"/>
            </w:tcBorders>
            <w:shd w:val="clear" w:color="auto" w:fill="E3ECF0"/>
          </w:tcPr>
          <w:p>
            <w:pPr>
              <w:spacing w:after="0"/>
              <w:rPr>
                <w:sz w:val="17"/>
                <w:szCs w:val="17"/>
                <w:color w:val="auto"/>
              </w:rPr>
            </w:pPr>
          </w:p>
        </w:tc>
        <w:tc>
          <w:tcPr>
            <w:tcW w:w="2520" w:type="dxa"/>
            <w:vAlign w:val="bottom"/>
            <w:tcBorders>
              <w:right w:val="single" w:sz="8" w:color="47829E"/>
            </w:tcBorders>
            <w:shd w:val="clear" w:color="auto" w:fill="E3ECF0"/>
          </w:tcPr>
          <w:p>
            <w:pPr>
              <w:jc w:val="center"/>
              <w:spacing w:after="0" w:line="202" w:lineRule="exact"/>
              <w:rPr>
                <w:sz w:val="20"/>
                <w:szCs w:val="20"/>
                <w:color w:val="auto"/>
              </w:rPr>
            </w:pPr>
            <w:r>
              <w:rPr>
                <w:rFonts w:ascii="Arial" w:cs="Arial" w:eastAsia="Arial" w:hAnsi="Arial"/>
                <w:sz w:val="18"/>
                <w:szCs w:val="18"/>
                <w:color w:val="auto"/>
                <w:w w:val="97"/>
              </w:rPr>
              <w:t>between 65%-200% of base</w:t>
            </w:r>
          </w:p>
        </w:tc>
        <w:tc>
          <w:tcPr>
            <w:tcW w:w="2620" w:type="dxa"/>
            <w:vAlign w:val="bottom"/>
            <w:tcBorders>
              <w:right w:val="single" w:sz="8" w:color="47829E"/>
            </w:tcBorders>
            <w:shd w:val="clear" w:color="auto" w:fill="E3ECF0"/>
          </w:tcPr>
          <w:p>
            <w:pPr>
              <w:jc w:val="center"/>
              <w:ind w:left="12"/>
              <w:spacing w:after="0" w:line="202" w:lineRule="exact"/>
              <w:rPr>
                <w:sz w:val="20"/>
                <w:szCs w:val="20"/>
                <w:color w:val="auto"/>
              </w:rPr>
            </w:pPr>
            <w:r>
              <w:rPr>
                <w:rFonts w:ascii="Arial" w:cs="Arial" w:eastAsia="Arial" w:hAnsi="Arial"/>
                <w:sz w:val="18"/>
                <w:szCs w:val="18"/>
                <w:color w:val="auto"/>
                <w:w w:val="97"/>
              </w:rPr>
              <w:t>Performance Peer Group</w:t>
            </w:r>
          </w:p>
        </w:tc>
        <w:tc>
          <w:tcPr>
            <w:tcW w:w="1820" w:type="dxa"/>
            <w:vAlign w:val="bottom"/>
            <w:tcBorders>
              <w:right w:val="single" w:sz="8" w:color="47829E"/>
            </w:tcBorders>
            <w:shd w:val="clear" w:color="auto" w:fill="E3ECF0"/>
          </w:tcPr>
          <w:p>
            <w:pPr>
              <w:spacing w:after="0"/>
              <w:rPr>
                <w:sz w:val="17"/>
                <w:szCs w:val="17"/>
                <w:color w:val="auto"/>
              </w:rPr>
            </w:pPr>
          </w:p>
        </w:tc>
        <w:tc>
          <w:tcPr>
            <w:tcW w:w="2760" w:type="dxa"/>
            <w:vAlign w:val="bottom"/>
            <w:tcBorders>
              <w:right w:val="single" w:sz="8" w:color="47829E"/>
            </w:tcBorders>
            <w:shd w:val="clear" w:color="auto" w:fill="E3ECF0"/>
          </w:tcPr>
          <w:p>
            <w:pPr>
              <w:jc w:val="center"/>
              <w:spacing w:after="0" w:line="202" w:lineRule="exact"/>
              <w:rPr>
                <w:sz w:val="20"/>
                <w:szCs w:val="20"/>
                <w:color w:val="auto"/>
              </w:rPr>
            </w:pPr>
            <w:r>
              <w:rPr>
                <w:rFonts w:ascii="Arial" w:cs="Arial" w:eastAsia="Arial" w:hAnsi="Arial"/>
                <w:sz w:val="18"/>
                <w:szCs w:val="18"/>
                <w:color w:val="auto"/>
                <w:w w:val="97"/>
              </w:rPr>
              <w:t>Performance Peer Group</w:t>
            </w:r>
          </w:p>
        </w:tc>
        <w:tc>
          <w:tcPr>
            <w:tcW w:w="0" w:type="dxa"/>
            <w:vAlign w:val="bottom"/>
          </w:tcPr>
          <w:p>
            <w:pPr>
              <w:spacing w:after="0"/>
              <w:rPr>
                <w:sz w:val="1"/>
                <w:szCs w:val="1"/>
                <w:color w:val="auto"/>
              </w:rPr>
            </w:pPr>
          </w:p>
        </w:tc>
      </w:tr>
      <w:tr>
        <w:trPr>
          <w:trHeight w:val="199"/>
        </w:trPr>
        <w:tc>
          <w:tcPr>
            <w:tcW w:w="1720" w:type="dxa"/>
            <w:vAlign w:val="bottom"/>
            <w:tcBorders>
              <w:left w:val="single" w:sz="8" w:color="47829E"/>
              <w:bottom w:val="single" w:sz="8" w:color="47829E"/>
              <w:right w:val="single" w:sz="8" w:color="47829E"/>
            </w:tcBorders>
            <w:shd w:val="clear" w:color="auto" w:fill="E3ECF0"/>
          </w:tcPr>
          <w:p>
            <w:pPr>
              <w:spacing w:after="0"/>
              <w:rPr>
                <w:sz w:val="17"/>
                <w:szCs w:val="17"/>
                <w:color w:val="auto"/>
              </w:rPr>
            </w:pPr>
          </w:p>
        </w:tc>
        <w:tc>
          <w:tcPr>
            <w:tcW w:w="2520" w:type="dxa"/>
            <w:vAlign w:val="bottom"/>
            <w:tcBorders>
              <w:bottom w:val="single" w:sz="8" w:color="47829E"/>
              <w:right w:val="single" w:sz="8" w:color="47829E"/>
            </w:tcBorders>
            <w:shd w:val="clear" w:color="auto" w:fill="E3ECF0"/>
          </w:tcPr>
          <w:p>
            <w:pPr>
              <w:jc w:val="center"/>
              <w:spacing w:after="0" w:line="200" w:lineRule="exact"/>
              <w:rPr>
                <w:sz w:val="20"/>
                <w:szCs w:val="20"/>
                <w:color w:val="auto"/>
              </w:rPr>
            </w:pPr>
            <w:r>
              <w:rPr>
                <w:rFonts w:ascii="Arial" w:cs="Arial" w:eastAsia="Arial" w:hAnsi="Arial"/>
                <w:sz w:val="18"/>
                <w:szCs w:val="18"/>
                <w:color w:val="auto"/>
                <w:w w:val="97"/>
              </w:rPr>
              <w:t>depending on position.</w:t>
            </w:r>
          </w:p>
        </w:tc>
        <w:tc>
          <w:tcPr>
            <w:tcW w:w="2620" w:type="dxa"/>
            <w:vAlign w:val="bottom"/>
            <w:tcBorders>
              <w:bottom w:val="single" w:sz="8" w:color="47829E"/>
              <w:right w:val="single" w:sz="8" w:color="47829E"/>
            </w:tcBorders>
            <w:shd w:val="clear" w:color="auto" w:fill="E3ECF0"/>
          </w:tcPr>
          <w:p>
            <w:pPr>
              <w:spacing w:after="0"/>
              <w:rPr>
                <w:sz w:val="17"/>
                <w:szCs w:val="17"/>
                <w:color w:val="auto"/>
              </w:rPr>
            </w:pPr>
          </w:p>
        </w:tc>
        <w:tc>
          <w:tcPr>
            <w:tcW w:w="1820" w:type="dxa"/>
            <w:vAlign w:val="bottom"/>
            <w:tcBorders>
              <w:bottom w:val="single" w:sz="8" w:color="47829E"/>
              <w:right w:val="single" w:sz="8" w:color="47829E"/>
            </w:tcBorders>
            <w:shd w:val="clear" w:color="auto" w:fill="E3ECF0"/>
          </w:tcPr>
          <w:p>
            <w:pPr>
              <w:spacing w:after="0"/>
              <w:rPr>
                <w:sz w:val="17"/>
                <w:szCs w:val="17"/>
                <w:color w:val="auto"/>
              </w:rPr>
            </w:pPr>
          </w:p>
        </w:tc>
        <w:tc>
          <w:tcPr>
            <w:tcW w:w="2760" w:type="dxa"/>
            <w:vAlign w:val="bottom"/>
            <w:tcBorders>
              <w:bottom w:val="single" w:sz="8" w:color="47829E"/>
              <w:right w:val="single" w:sz="8" w:color="47829E"/>
            </w:tcBorders>
            <w:shd w:val="clear" w:color="auto" w:fill="E3ECF0"/>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1720" w:type="dxa"/>
            <w:vAlign w:val="bottom"/>
          </w:tcPr>
          <w:p>
            <w:pPr>
              <w:spacing w:after="0"/>
              <w:rPr>
                <w:sz w:val="20"/>
                <w:szCs w:val="20"/>
                <w:color w:val="auto"/>
              </w:rPr>
            </w:pPr>
            <w:r>
              <w:rPr>
                <w:rFonts w:ascii="Arial" w:cs="Arial" w:eastAsia="Arial" w:hAnsi="Arial"/>
                <w:sz w:val="18"/>
                <w:szCs w:val="18"/>
                <w:i w:val="1"/>
                <w:iCs w:val="1"/>
                <w:color w:val="auto"/>
              </w:rPr>
              <w:t>LTIP Grants</w:t>
            </w:r>
          </w:p>
        </w:tc>
        <w:tc>
          <w:tcPr>
            <w:tcW w:w="2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Our LTIP awards consists of (1) granting a mix of options and restricted stock units and (2) basing the amount of the award on our performance. The Committee believes that the mix provides better incentives to executive officers than either options or restricted stock units alone. Stock options link the compensation provided to the named executive officers with gains realized by the shareholders, thus serving to confer on recipients an ownership interest in Martin Marietta. These awards also assist Martin Marietta in maintaining competitive levels of total compensation. The vesting periods associated with stock options encourage the continued retention of these individuals. The RSU awards granted to executive officers strengthen our retention value for executives because restricted stock units have an intrinsic value when granted, which increases or decreases with our stock price providing alignment with our shareholders. In addition, restricted stock units permit us to issue fewer shares to deliver the same value, thereby reducing potential dilution.</w:t>
      </w:r>
    </w:p>
    <w:p>
      <w:pPr>
        <w:spacing w:after="0" w:line="15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For each named executive officer, other than the CEO, the Committee derived a target dollar value for this component of compensation based on a review of equity award data in the compensation studies described above and input from Aon Hewitt. The target dollar value is increased each year by an amount equal to the average percentage increase in base pay for salaried employees and relevant subjective considerations, such as a promotion or expanded responsibilities.</w:t>
      </w:r>
    </w:p>
    <w:p>
      <w:pPr>
        <w:spacing w:after="0" w:line="155"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The amount of the awards that are granted is based on Martin Marietta’s performance. If minimum performance levels are not achieved, then no grants are made.</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40"/>
          </w:cols>
          <w:pgMar w:left="240" w:top="269" w:right="219" w:bottom="1440" w:gutter="0" w:footer="0" w:header="0"/>
        </w:sectPr>
      </w:pPr>
    </w:p>
    <w:bookmarkStart w:id="42" w:name="page43"/>
    <w:bookmarkEnd w:id="42"/>
    <w:p>
      <w:pPr>
        <w:jc w:val="both"/>
        <w:ind w:right="2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determine the grant size, first the Committee compares Martin Marietta’s return on invested capital (ROIC) to its weighted average cost of capital (WACC) for the preceding fiscal year. The amount of the award is then set depending on the range set forth in the table below. The maximum award (200%) is a stretch goal would be achieved if the Company’s return on invested capital is at least 4% higher than the weighted average cost of capital and with the Committee’s subjective determination that such level of shareholder value created by the Company is outstanding.</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740" w:type="dxa"/>
            <w:vAlign w:val="bottom"/>
            <w:tcBorders>
              <w:left w:val="single" w:sz="8" w:color="47829E"/>
              <w:right w:val="single" w:sz="8" w:color="47829E"/>
            </w:tcBorders>
            <w:shd w:val="clear" w:color="auto" w:fill="47829E"/>
          </w:tcPr>
          <w:p>
            <w:pPr>
              <w:ind w:left="120"/>
              <w:spacing w:after="0"/>
              <w:rPr>
                <w:sz w:val="20"/>
                <w:szCs w:val="20"/>
                <w:color w:val="auto"/>
              </w:rPr>
            </w:pPr>
            <w:r>
              <w:rPr>
                <w:rFonts w:ascii="Arial" w:cs="Arial" w:eastAsia="Arial" w:hAnsi="Arial"/>
                <w:sz w:val="14"/>
                <w:szCs w:val="14"/>
                <w:b w:val="1"/>
                <w:bCs w:val="1"/>
                <w:color w:val="FFFFFF"/>
              </w:rPr>
              <w:t>Return on Invested Capital vs.</w:t>
            </w:r>
          </w:p>
        </w:tc>
        <w:tc>
          <w:tcPr>
            <w:tcW w:w="5700" w:type="dxa"/>
            <w:vAlign w:val="bottom"/>
            <w:tcBorders>
              <w:right w:val="single" w:sz="8" w:color="47829E"/>
            </w:tcBorders>
            <w:shd w:val="clear" w:color="auto" w:fill="47829E"/>
          </w:tcPr>
          <w:p>
            <w:pPr>
              <w:jc w:val="center"/>
              <w:ind w:left="252"/>
              <w:spacing w:after="0"/>
              <w:rPr>
                <w:sz w:val="20"/>
                <w:szCs w:val="20"/>
                <w:color w:val="auto"/>
              </w:rPr>
            </w:pPr>
            <w:r>
              <w:rPr>
                <w:rFonts w:ascii="Arial" w:cs="Arial" w:eastAsia="Arial" w:hAnsi="Arial"/>
                <w:sz w:val="14"/>
                <w:szCs w:val="14"/>
                <w:b w:val="1"/>
                <w:bCs w:val="1"/>
                <w:color w:val="FFFFFF"/>
                <w:w w:val="95"/>
              </w:rPr>
              <w:t>Grant as %</w:t>
            </w:r>
          </w:p>
        </w:tc>
      </w:tr>
      <w:tr>
        <w:trPr>
          <w:trHeight w:val="179"/>
        </w:trPr>
        <w:tc>
          <w:tcPr>
            <w:tcW w:w="5740" w:type="dxa"/>
            <w:vAlign w:val="bottom"/>
            <w:tcBorders>
              <w:left w:val="single" w:sz="8" w:color="47829E"/>
              <w:right w:val="single" w:sz="8" w:color="47829E"/>
            </w:tcBorders>
            <w:shd w:val="clear" w:color="auto" w:fill="47829E"/>
          </w:tcPr>
          <w:p>
            <w:pPr>
              <w:ind w:left="120"/>
              <w:spacing w:after="0"/>
              <w:rPr>
                <w:sz w:val="20"/>
                <w:szCs w:val="20"/>
                <w:color w:val="auto"/>
              </w:rPr>
            </w:pPr>
            <w:r>
              <w:rPr>
                <w:rFonts w:ascii="Arial" w:cs="Arial" w:eastAsia="Arial" w:hAnsi="Arial"/>
                <w:sz w:val="14"/>
                <w:szCs w:val="14"/>
                <w:b w:val="1"/>
                <w:bCs w:val="1"/>
                <w:color w:val="FFFFFF"/>
              </w:rPr>
              <w:t>Weighted Average Cost of Capital*</w:t>
            </w:r>
          </w:p>
        </w:tc>
        <w:tc>
          <w:tcPr>
            <w:tcW w:w="5700" w:type="dxa"/>
            <w:vAlign w:val="bottom"/>
            <w:tcBorders>
              <w:right w:val="single" w:sz="8" w:color="47829E"/>
            </w:tcBorders>
            <w:shd w:val="clear" w:color="auto" w:fill="47829E"/>
          </w:tcPr>
          <w:p>
            <w:pPr>
              <w:jc w:val="center"/>
              <w:ind w:left="232"/>
              <w:spacing w:after="0"/>
              <w:rPr>
                <w:sz w:val="20"/>
                <w:szCs w:val="20"/>
                <w:color w:val="auto"/>
              </w:rPr>
            </w:pPr>
            <w:r>
              <w:rPr>
                <w:rFonts w:ascii="Arial" w:cs="Arial" w:eastAsia="Arial" w:hAnsi="Arial"/>
                <w:sz w:val="14"/>
                <w:szCs w:val="14"/>
                <w:b w:val="1"/>
                <w:bCs w:val="1"/>
                <w:color w:val="FFFFFF"/>
                <w:w w:val="93"/>
              </w:rPr>
              <w:t>of Target</w:t>
            </w:r>
          </w:p>
        </w:tc>
      </w:tr>
      <w:tr>
        <w:trPr>
          <w:trHeight w:val="149"/>
        </w:trPr>
        <w:tc>
          <w:tcPr>
            <w:tcW w:w="5740" w:type="dxa"/>
            <w:vAlign w:val="bottom"/>
            <w:tcBorders>
              <w:left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More than 4% above</w:t>
            </w:r>
          </w:p>
        </w:tc>
        <w:tc>
          <w:tcPr>
            <w:tcW w:w="5700" w:type="dxa"/>
            <w:vAlign w:val="bottom"/>
            <w:tcBorders>
              <w:right w:val="single" w:sz="8" w:color="47829E"/>
            </w:tcBorders>
          </w:tcPr>
          <w:p>
            <w:pPr>
              <w:jc w:val="center"/>
              <w:ind w:left="252"/>
              <w:spacing w:after="0" w:line="149" w:lineRule="exact"/>
              <w:rPr>
                <w:sz w:val="20"/>
                <w:szCs w:val="20"/>
                <w:color w:val="auto"/>
              </w:rPr>
            </w:pPr>
            <w:r>
              <w:rPr>
                <w:rFonts w:ascii="Arial" w:cs="Arial" w:eastAsia="Arial" w:hAnsi="Arial"/>
                <w:sz w:val="14"/>
                <w:szCs w:val="14"/>
                <w:color w:val="auto"/>
                <w:w w:val="94"/>
              </w:rPr>
              <w:t>200%</w:t>
            </w:r>
          </w:p>
        </w:tc>
      </w:tr>
      <w:tr>
        <w:trPr>
          <w:trHeight w:val="149"/>
        </w:trPr>
        <w:tc>
          <w:tcPr>
            <w:tcW w:w="5740" w:type="dxa"/>
            <w:vAlign w:val="bottom"/>
            <w:tcBorders>
              <w:left w:val="single" w:sz="8" w:color="47829E"/>
              <w:right w:val="single" w:sz="8" w:color="47829E"/>
            </w:tcBorders>
            <w:shd w:val="clear" w:color="auto" w:fill="E3ECF0"/>
          </w:tcPr>
          <w:p>
            <w:pPr>
              <w:ind w:left="120"/>
              <w:spacing w:after="0" w:line="149" w:lineRule="exact"/>
              <w:rPr>
                <w:sz w:val="20"/>
                <w:szCs w:val="20"/>
                <w:color w:val="auto"/>
              </w:rPr>
            </w:pPr>
            <w:r>
              <w:rPr>
                <w:rFonts w:ascii="Arial" w:cs="Arial" w:eastAsia="Arial" w:hAnsi="Arial"/>
                <w:sz w:val="14"/>
                <w:szCs w:val="14"/>
                <w:color w:val="auto"/>
              </w:rPr>
              <w:t>Between 3.01% and 4% above</w:t>
            </w:r>
          </w:p>
        </w:tc>
        <w:tc>
          <w:tcPr>
            <w:tcW w:w="5700" w:type="dxa"/>
            <w:vAlign w:val="bottom"/>
            <w:tcBorders>
              <w:right w:val="single" w:sz="8" w:color="47829E"/>
            </w:tcBorders>
            <w:shd w:val="clear" w:color="auto" w:fill="E3ECF0"/>
          </w:tcPr>
          <w:p>
            <w:pPr>
              <w:jc w:val="center"/>
              <w:ind w:left="252"/>
              <w:spacing w:after="0" w:line="149" w:lineRule="exact"/>
              <w:rPr>
                <w:sz w:val="20"/>
                <w:szCs w:val="20"/>
                <w:color w:val="auto"/>
              </w:rPr>
            </w:pPr>
            <w:r>
              <w:rPr>
                <w:rFonts w:ascii="Arial" w:cs="Arial" w:eastAsia="Arial" w:hAnsi="Arial"/>
                <w:sz w:val="14"/>
                <w:szCs w:val="14"/>
                <w:color w:val="auto"/>
                <w:w w:val="94"/>
              </w:rPr>
              <w:t>175%</w:t>
            </w:r>
          </w:p>
        </w:tc>
      </w:tr>
      <w:tr>
        <w:trPr>
          <w:trHeight w:val="149"/>
        </w:trPr>
        <w:tc>
          <w:tcPr>
            <w:tcW w:w="5740" w:type="dxa"/>
            <w:vAlign w:val="bottom"/>
            <w:tcBorders>
              <w:left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Between 2.01% and 3% above</w:t>
            </w:r>
          </w:p>
        </w:tc>
        <w:tc>
          <w:tcPr>
            <w:tcW w:w="5700" w:type="dxa"/>
            <w:vAlign w:val="bottom"/>
            <w:tcBorders>
              <w:right w:val="single" w:sz="8" w:color="47829E"/>
            </w:tcBorders>
          </w:tcPr>
          <w:p>
            <w:pPr>
              <w:jc w:val="center"/>
              <w:ind w:left="252"/>
              <w:spacing w:after="0" w:line="149" w:lineRule="exact"/>
              <w:rPr>
                <w:sz w:val="20"/>
                <w:szCs w:val="20"/>
                <w:color w:val="auto"/>
              </w:rPr>
            </w:pPr>
            <w:r>
              <w:rPr>
                <w:rFonts w:ascii="Arial" w:cs="Arial" w:eastAsia="Arial" w:hAnsi="Arial"/>
                <w:sz w:val="14"/>
                <w:szCs w:val="14"/>
                <w:color w:val="auto"/>
                <w:w w:val="94"/>
              </w:rPr>
              <w:t>150%</w:t>
            </w:r>
          </w:p>
        </w:tc>
      </w:tr>
      <w:tr>
        <w:trPr>
          <w:trHeight w:val="149"/>
        </w:trPr>
        <w:tc>
          <w:tcPr>
            <w:tcW w:w="5740" w:type="dxa"/>
            <w:vAlign w:val="bottom"/>
            <w:tcBorders>
              <w:left w:val="single" w:sz="8" w:color="47829E"/>
              <w:right w:val="single" w:sz="8" w:color="47829E"/>
            </w:tcBorders>
            <w:shd w:val="clear" w:color="auto" w:fill="E3ECF0"/>
          </w:tcPr>
          <w:p>
            <w:pPr>
              <w:ind w:left="120"/>
              <w:spacing w:after="0" w:line="149" w:lineRule="exact"/>
              <w:rPr>
                <w:sz w:val="20"/>
                <w:szCs w:val="20"/>
                <w:color w:val="auto"/>
              </w:rPr>
            </w:pPr>
            <w:r>
              <w:rPr>
                <w:rFonts w:ascii="Arial" w:cs="Arial" w:eastAsia="Arial" w:hAnsi="Arial"/>
                <w:sz w:val="14"/>
                <w:szCs w:val="14"/>
                <w:color w:val="auto"/>
              </w:rPr>
              <w:t>Between 1.01% and 2% above</w:t>
            </w:r>
          </w:p>
        </w:tc>
        <w:tc>
          <w:tcPr>
            <w:tcW w:w="5700" w:type="dxa"/>
            <w:vAlign w:val="bottom"/>
            <w:tcBorders>
              <w:right w:val="single" w:sz="8" w:color="47829E"/>
            </w:tcBorders>
            <w:shd w:val="clear" w:color="auto" w:fill="E3ECF0"/>
          </w:tcPr>
          <w:p>
            <w:pPr>
              <w:jc w:val="center"/>
              <w:ind w:left="252"/>
              <w:spacing w:after="0" w:line="149" w:lineRule="exact"/>
              <w:rPr>
                <w:sz w:val="20"/>
                <w:szCs w:val="20"/>
                <w:color w:val="auto"/>
              </w:rPr>
            </w:pPr>
            <w:r>
              <w:rPr>
                <w:rFonts w:ascii="Arial" w:cs="Arial" w:eastAsia="Arial" w:hAnsi="Arial"/>
                <w:sz w:val="14"/>
                <w:szCs w:val="14"/>
                <w:color w:val="auto"/>
                <w:w w:val="94"/>
              </w:rPr>
              <w:t>125%</w:t>
            </w:r>
          </w:p>
        </w:tc>
      </w:tr>
      <w:tr>
        <w:trPr>
          <w:trHeight w:val="149"/>
        </w:trPr>
        <w:tc>
          <w:tcPr>
            <w:tcW w:w="5740" w:type="dxa"/>
            <w:vAlign w:val="bottom"/>
            <w:tcBorders>
              <w:left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Between 0.01% and 1% above</w:t>
            </w:r>
          </w:p>
        </w:tc>
        <w:tc>
          <w:tcPr>
            <w:tcW w:w="5700" w:type="dxa"/>
            <w:vAlign w:val="bottom"/>
            <w:tcBorders>
              <w:right w:val="single" w:sz="8" w:color="47829E"/>
            </w:tcBorders>
          </w:tcPr>
          <w:p>
            <w:pPr>
              <w:jc w:val="center"/>
              <w:ind w:left="252"/>
              <w:spacing w:after="0" w:line="149" w:lineRule="exact"/>
              <w:rPr>
                <w:sz w:val="20"/>
                <w:szCs w:val="20"/>
                <w:color w:val="auto"/>
              </w:rPr>
            </w:pPr>
            <w:r>
              <w:rPr>
                <w:rFonts w:ascii="Arial" w:cs="Arial" w:eastAsia="Arial" w:hAnsi="Arial"/>
                <w:sz w:val="14"/>
                <w:szCs w:val="14"/>
                <w:color w:val="auto"/>
                <w:w w:val="94"/>
              </w:rPr>
              <w:t>100%</w:t>
            </w:r>
          </w:p>
        </w:tc>
      </w:tr>
      <w:tr>
        <w:trPr>
          <w:trHeight w:val="149"/>
        </w:trPr>
        <w:tc>
          <w:tcPr>
            <w:tcW w:w="5740" w:type="dxa"/>
            <w:vAlign w:val="bottom"/>
            <w:tcBorders>
              <w:left w:val="single" w:sz="8" w:color="47829E"/>
              <w:right w:val="single" w:sz="8" w:color="47829E"/>
            </w:tcBorders>
            <w:shd w:val="clear" w:color="auto" w:fill="E3ECF0"/>
          </w:tcPr>
          <w:p>
            <w:pPr>
              <w:ind w:left="120"/>
              <w:spacing w:after="0" w:line="149" w:lineRule="exact"/>
              <w:rPr>
                <w:sz w:val="20"/>
                <w:szCs w:val="20"/>
                <w:color w:val="auto"/>
              </w:rPr>
            </w:pPr>
            <w:r>
              <w:rPr>
                <w:rFonts w:ascii="Arial" w:cs="Arial" w:eastAsia="Arial" w:hAnsi="Arial"/>
                <w:sz w:val="14"/>
                <w:szCs w:val="14"/>
                <w:color w:val="auto"/>
              </w:rPr>
              <w:t>Between WACC and 0.99% below</w:t>
            </w:r>
          </w:p>
        </w:tc>
        <w:tc>
          <w:tcPr>
            <w:tcW w:w="5700" w:type="dxa"/>
            <w:vAlign w:val="bottom"/>
            <w:tcBorders>
              <w:right w:val="single" w:sz="8" w:color="47829E"/>
            </w:tcBorders>
            <w:shd w:val="clear" w:color="auto" w:fill="E3ECF0"/>
          </w:tcPr>
          <w:p>
            <w:pPr>
              <w:jc w:val="center"/>
              <w:ind w:left="252"/>
              <w:spacing w:after="0" w:line="149" w:lineRule="exact"/>
              <w:rPr>
                <w:sz w:val="20"/>
                <w:szCs w:val="20"/>
                <w:color w:val="auto"/>
              </w:rPr>
            </w:pPr>
            <w:r>
              <w:rPr>
                <w:rFonts w:ascii="Arial" w:cs="Arial" w:eastAsia="Arial" w:hAnsi="Arial"/>
                <w:sz w:val="14"/>
                <w:szCs w:val="14"/>
                <w:color w:val="auto"/>
                <w:w w:val="92"/>
              </w:rPr>
              <w:t>75%</w:t>
            </w:r>
          </w:p>
        </w:tc>
      </w:tr>
      <w:tr>
        <w:trPr>
          <w:trHeight w:val="149"/>
        </w:trPr>
        <w:tc>
          <w:tcPr>
            <w:tcW w:w="5740" w:type="dxa"/>
            <w:vAlign w:val="bottom"/>
            <w:tcBorders>
              <w:left w:val="single" w:sz="8" w:color="47829E"/>
              <w:bottom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1% or more below</w:t>
            </w:r>
          </w:p>
        </w:tc>
        <w:tc>
          <w:tcPr>
            <w:tcW w:w="5700" w:type="dxa"/>
            <w:vAlign w:val="bottom"/>
            <w:tcBorders>
              <w:bottom w:val="single" w:sz="8" w:color="47829E"/>
              <w:right w:val="single" w:sz="8" w:color="47829E"/>
            </w:tcBorders>
          </w:tcPr>
          <w:p>
            <w:pPr>
              <w:jc w:val="center"/>
              <w:ind w:left="232"/>
              <w:spacing w:after="0" w:line="149" w:lineRule="exact"/>
              <w:rPr>
                <w:sz w:val="20"/>
                <w:szCs w:val="20"/>
                <w:color w:val="auto"/>
              </w:rPr>
            </w:pPr>
            <w:r>
              <w:rPr>
                <w:rFonts w:ascii="Arial" w:cs="Arial" w:eastAsia="Arial" w:hAnsi="Arial"/>
                <w:sz w:val="14"/>
                <w:szCs w:val="14"/>
                <w:color w:val="auto"/>
                <w:w w:val="96"/>
              </w:rPr>
              <w:t>Review Martin Marietta performance against Performance Peer Group</w:t>
            </w:r>
          </w:p>
        </w:tc>
      </w:tr>
    </w:tbl>
    <w:p>
      <w:pPr>
        <w:spacing w:after="0" w:line="16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If our ROIC is 1% or more below our WACC, then we review our previous year’s financial performance against seven global competitors to determine our relative performance and the grant size, if any. The seven global competitors are called the Performance Peer Group:</w:t>
      </w:r>
    </w:p>
    <w:p>
      <w:pPr>
        <w:sectPr>
          <w:pgSz w:w="11900" w:h="16838" w:orient="portrait"/>
          <w:cols w:equalWidth="0" w:num="1">
            <w:col w:w="11440"/>
          </w:cols>
          <w:pgMar w:left="240" w:top="291" w:right="219" w:bottom="1440" w:gutter="0" w:footer="0" w:header="0"/>
        </w:sectPr>
      </w:pPr>
    </w:p>
    <w:p>
      <w:pPr>
        <w:spacing w:after="0" w:line="19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Cemex</w:t>
      </w:r>
    </w:p>
    <w:p>
      <w:pPr>
        <w:ind w:left="920"/>
        <w:spacing w:after="0" w:line="234" w:lineRule="auto"/>
        <w:rPr>
          <w:sz w:val="20"/>
          <w:szCs w:val="20"/>
          <w:color w:val="auto"/>
        </w:rPr>
      </w:pPr>
      <w:r>
        <w:rPr>
          <w:rFonts w:ascii="Arial" w:cs="Arial" w:eastAsia="Arial" w:hAnsi="Arial"/>
          <w:sz w:val="18"/>
          <w:szCs w:val="18"/>
          <w:color w:val="auto"/>
        </w:rPr>
        <w:t>S.A.B. de C.V.</w:t>
      </w:r>
    </w:p>
    <w:p>
      <w:pPr>
        <w:ind w:left="920"/>
        <w:spacing w:after="0" w:line="235" w:lineRule="auto"/>
        <w:rPr>
          <w:sz w:val="20"/>
          <w:szCs w:val="20"/>
          <w:color w:val="auto"/>
        </w:rPr>
      </w:pPr>
      <w:r>
        <w:rPr>
          <w:rFonts w:ascii="Arial" w:cs="Arial" w:eastAsia="Arial" w:hAnsi="Arial"/>
          <w:sz w:val="18"/>
          <w:szCs w:val="18"/>
          <w:color w:val="auto"/>
        </w:rPr>
        <w:t>CRH PLC</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Heidelberger Druckmaschinen AG/Heidelberg USA</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Holcim Ltd.</w:t>
      </w:r>
    </w:p>
    <w:p>
      <w:pPr>
        <w:spacing w:after="0" w:line="234" w:lineRule="auto"/>
        <w:rPr>
          <w:sz w:val="20"/>
          <w:szCs w:val="20"/>
          <w:color w:val="auto"/>
        </w:rPr>
      </w:pPr>
      <w:r>
        <w:rPr>
          <w:rFonts w:ascii="Arial" w:cs="Arial" w:eastAsia="Arial" w:hAnsi="Arial"/>
          <w:sz w:val="18"/>
          <w:szCs w:val="18"/>
          <w:color w:val="auto"/>
        </w:rPr>
        <w:t>Lafarge S.A.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Vulcan Materials Company</w:t>
      </w:r>
    </w:p>
    <w:p>
      <w:pPr>
        <w:spacing w:after="0" w:line="383" w:lineRule="exact"/>
        <w:rPr>
          <w:sz w:val="20"/>
          <w:szCs w:val="20"/>
          <w:color w:val="auto"/>
        </w:rPr>
      </w:pPr>
    </w:p>
    <w:p>
      <w:pPr>
        <w:sectPr>
          <w:pgSz w:w="11900" w:h="16838" w:orient="portrait"/>
          <w:cols w:equalWidth="0" w:num="2">
            <w:col w:w="6520" w:space="720"/>
            <w:col w:w="4200"/>
          </w:cols>
          <w:pgMar w:left="240" w:top="291" w:right="219" w:bottom="1440" w:gutter="0" w:footer="0" w:header="0"/>
          <w:type w:val="continuous"/>
        </w:sectPr>
      </w:pPr>
    </w:p>
    <w:p>
      <w:pPr>
        <w:jc w:val="both"/>
        <w:ind w:right="20"/>
        <w:spacing w:after="0" w:line="235" w:lineRule="auto"/>
        <w:rPr>
          <w:sz w:val="20"/>
          <w:szCs w:val="20"/>
          <w:color w:val="auto"/>
        </w:rPr>
      </w:pPr>
      <w:r>
        <w:rPr>
          <w:rFonts w:ascii="Arial" w:cs="Arial" w:eastAsia="Arial" w:hAnsi="Arial"/>
          <w:sz w:val="18"/>
          <w:szCs w:val="18"/>
          <w:color w:val="auto"/>
        </w:rPr>
        <w:t>The four performance measures that the Committee took into account under this alternative formula are: (1) Return, measured by operating profit expressed as a percentage margin to net sales, (2) Growth, measured by the increase in 2013 revenue/net sales expressed as a percentage change compared to 2012, (3) Cash Flow, measured by operating cash flow calculated as a percentage change over prior year, and (4) Earnings Before Interest, Taxes and Depletion, Depreciation and Amortization (EBITDA), measured as a percentage of EBITDA margin to net sales. These metrics were determined by the Committee to be appropriate measures of performance based on its knowledge of the performance factors that the Company’s shareholders consider, the advice of Aon Hewitt that these factors are appropriate, the differences in size, diversity and markets of the businesses conducted by the international companies in the Performance Peer Group, and the limited availability of full performance metrics from the international companies in the Performance Peer Group that do not make financial statement filings in accordance with generally accepted accounting principles with the SEC. Grants sizes are determined based on our average score versus the Performance Peer Group for these metrics.</w:t>
      </w:r>
    </w:p>
    <w:p>
      <w:pPr>
        <w:spacing w:after="0" w:line="16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2013, our ROIC vs. WACC fell in the category “1% or more below”. The Committee in 2014 reviewed our performance against the Performance Peer Group as set forth in the following table with respect to each of the measures indicated.</w:t>
      </w:r>
    </w:p>
    <w:p>
      <w:pPr>
        <w:spacing w:after="0" w:line="192" w:lineRule="exact"/>
        <w:rPr>
          <w:sz w:val="20"/>
          <w:szCs w:val="20"/>
          <w:color w:val="auto"/>
        </w:rPr>
      </w:pPr>
    </w:p>
    <w:tbl>
      <w:tblPr>
        <w:tblLayout w:type="fixed"/>
        <w:tblInd w:w="470" w:type="dxa"/>
        <w:tblCellMar>
          <w:top w:w="0" w:type="dxa"/>
          <w:left w:w="0" w:type="dxa"/>
          <w:bottom w:w="0" w:type="dxa"/>
          <w:right w:w="0" w:type="dxa"/>
        </w:tblCellMar>
      </w:tblPr>
      <w:tr>
        <w:trPr>
          <w:trHeight w:val="257"/>
        </w:trPr>
        <w:tc>
          <w:tcPr>
            <w:tcW w:w="2820" w:type="dxa"/>
            <w:vAlign w:val="bottom"/>
            <w:tcBorders>
              <w:left w:val="single" w:sz="8" w:color="47829E"/>
              <w:right w:val="single" w:sz="8" w:color="47829E"/>
            </w:tcBorders>
            <w:vMerge w:val="restart"/>
            <w:shd w:val="clear" w:color="auto" w:fill="47829E"/>
          </w:tcPr>
          <w:p>
            <w:pPr>
              <w:ind w:left="120"/>
              <w:spacing w:after="0"/>
              <w:rPr>
                <w:sz w:val="20"/>
                <w:szCs w:val="20"/>
                <w:color w:val="auto"/>
              </w:rPr>
            </w:pPr>
            <w:r>
              <w:rPr>
                <w:rFonts w:ascii="Arial" w:cs="Arial" w:eastAsia="Arial" w:hAnsi="Arial"/>
                <w:sz w:val="14"/>
                <w:szCs w:val="14"/>
                <w:b w:val="1"/>
                <w:bCs w:val="1"/>
                <w:color w:val="FFFFFF"/>
              </w:rPr>
              <w:t>Martin Marietta</w:t>
            </w:r>
          </w:p>
        </w:tc>
        <w:tc>
          <w:tcPr>
            <w:tcW w:w="1720" w:type="dxa"/>
            <w:vAlign w:val="bottom"/>
            <w:tcBorders>
              <w:right w:val="single" w:sz="8" w:color="47829E"/>
            </w:tcBorders>
            <w:vMerge w:val="restart"/>
            <w:shd w:val="clear" w:color="auto" w:fill="47829E"/>
          </w:tcPr>
          <w:p>
            <w:pPr>
              <w:jc w:val="right"/>
              <w:ind w:right="432"/>
              <w:spacing w:after="0"/>
              <w:rPr>
                <w:sz w:val="20"/>
                <w:szCs w:val="20"/>
                <w:color w:val="auto"/>
              </w:rPr>
            </w:pPr>
            <w:r>
              <w:rPr>
                <w:rFonts w:ascii="Arial" w:cs="Arial" w:eastAsia="Arial" w:hAnsi="Arial"/>
                <w:sz w:val="14"/>
                <w:szCs w:val="14"/>
                <w:b w:val="1"/>
                <w:bCs w:val="1"/>
                <w:color w:val="FFFFFF"/>
              </w:rPr>
              <w:t>Award</w:t>
            </w:r>
          </w:p>
        </w:tc>
        <w:tc>
          <w:tcPr>
            <w:tcW w:w="1040" w:type="dxa"/>
            <w:vAlign w:val="bottom"/>
            <w:shd w:val="clear" w:color="auto" w:fill="47829E"/>
          </w:tcPr>
          <w:p>
            <w:pPr>
              <w:spacing w:after="0"/>
              <w:rPr>
                <w:sz w:val="22"/>
                <w:szCs w:val="22"/>
                <w:color w:val="auto"/>
              </w:rPr>
            </w:pPr>
          </w:p>
        </w:tc>
        <w:tc>
          <w:tcPr>
            <w:tcW w:w="340" w:type="dxa"/>
            <w:vAlign w:val="bottom"/>
            <w:tcBorders>
              <w:right w:val="single" w:sz="8" w:color="47829E"/>
            </w:tcBorders>
            <w:shd w:val="clear" w:color="auto" w:fill="47829E"/>
          </w:tcPr>
          <w:p>
            <w:pPr>
              <w:spacing w:after="0"/>
              <w:rPr>
                <w:sz w:val="22"/>
                <w:szCs w:val="22"/>
                <w:color w:val="auto"/>
              </w:rPr>
            </w:pPr>
          </w:p>
        </w:tc>
        <w:tc>
          <w:tcPr>
            <w:tcW w:w="1060" w:type="dxa"/>
            <w:vAlign w:val="bottom"/>
            <w:shd w:val="clear" w:color="auto" w:fill="47829E"/>
          </w:tcPr>
          <w:p>
            <w:pPr>
              <w:spacing w:after="0"/>
              <w:rPr>
                <w:sz w:val="22"/>
                <w:szCs w:val="22"/>
                <w:color w:val="auto"/>
              </w:rPr>
            </w:pPr>
          </w:p>
        </w:tc>
        <w:tc>
          <w:tcPr>
            <w:tcW w:w="1620" w:type="dxa"/>
            <w:vAlign w:val="bottom"/>
            <w:gridSpan w:val="2"/>
            <w:shd w:val="clear" w:color="auto" w:fill="47829E"/>
          </w:tcPr>
          <w:p>
            <w:pPr>
              <w:ind w:left="20"/>
              <w:spacing w:after="0"/>
              <w:rPr>
                <w:sz w:val="20"/>
                <w:szCs w:val="20"/>
                <w:color w:val="auto"/>
              </w:rPr>
            </w:pPr>
            <w:r>
              <w:rPr>
                <w:rFonts w:ascii="Arial" w:cs="Arial" w:eastAsia="Arial" w:hAnsi="Arial"/>
                <w:sz w:val="14"/>
                <w:szCs w:val="14"/>
                <w:b w:val="1"/>
                <w:bCs w:val="1"/>
                <w:color w:val="FFFFFF"/>
              </w:rPr>
              <w:t>Performance Metric</w:t>
            </w:r>
          </w:p>
        </w:tc>
        <w:tc>
          <w:tcPr>
            <w:tcW w:w="320" w:type="dxa"/>
            <w:vAlign w:val="bottom"/>
            <w:tcBorders>
              <w:right w:val="single" w:sz="8" w:color="47829E"/>
            </w:tcBorders>
            <w:shd w:val="clear" w:color="auto" w:fill="47829E"/>
          </w:tcPr>
          <w:p>
            <w:pPr>
              <w:spacing w:after="0"/>
              <w:rPr>
                <w:sz w:val="22"/>
                <w:szCs w:val="22"/>
                <w:color w:val="auto"/>
              </w:rPr>
            </w:pPr>
          </w:p>
        </w:tc>
        <w:tc>
          <w:tcPr>
            <w:tcW w:w="1600" w:type="dxa"/>
            <w:vAlign w:val="bottom"/>
            <w:tcBorders>
              <w:right w:val="single" w:sz="8" w:color="47829E"/>
            </w:tcBorders>
            <w:shd w:val="clear" w:color="auto" w:fill="47829E"/>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820" w:type="dxa"/>
            <w:vAlign w:val="bottom"/>
            <w:tcBorders>
              <w:left w:val="single" w:sz="8" w:color="47829E"/>
              <w:right w:val="single" w:sz="8" w:color="47829E"/>
            </w:tcBorders>
            <w:vMerge w:val="continue"/>
            <w:shd w:val="clear" w:color="auto" w:fill="47829E"/>
          </w:tcPr>
          <w:p>
            <w:pPr>
              <w:spacing w:after="0"/>
              <w:rPr>
                <w:sz w:val="11"/>
                <w:szCs w:val="11"/>
                <w:color w:val="auto"/>
              </w:rPr>
            </w:pPr>
          </w:p>
        </w:tc>
        <w:tc>
          <w:tcPr>
            <w:tcW w:w="1720" w:type="dxa"/>
            <w:vAlign w:val="bottom"/>
            <w:tcBorders>
              <w:right w:val="single" w:sz="8" w:color="47829E"/>
            </w:tcBorders>
            <w:vMerge w:val="continue"/>
            <w:shd w:val="clear" w:color="auto" w:fill="47829E"/>
          </w:tcPr>
          <w:p>
            <w:pPr>
              <w:spacing w:after="0"/>
              <w:rPr>
                <w:sz w:val="11"/>
                <w:szCs w:val="11"/>
                <w:color w:val="auto"/>
              </w:rPr>
            </w:pPr>
          </w:p>
        </w:tc>
        <w:tc>
          <w:tcPr>
            <w:tcW w:w="1040" w:type="dxa"/>
            <w:vAlign w:val="bottom"/>
            <w:shd w:val="clear" w:color="auto" w:fill="47829E"/>
          </w:tcPr>
          <w:p>
            <w:pPr>
              <w:spacing w:after="0"/>
              <w:rPr>
                <w:sz w:val="11"/>
                <w:szCs w:val="11"/>
                <w:color w:val="auto"/>
              </w:rPr>
            </w:pPr>
          </w:p>
        </w:tc>
        <w:tc>
          <w:tcPr>
            <w:tcW w:w="340" w:type="dxa"/>
            <w:vAlign w:val="bottom"/>
            <w:tcBorders>
              <w:right w:val="single" w:sz="8" w:color="47829E"/>
            </w:tcBorders>
            <w:shd w:val="clear" w:color="auto" w:fill="47829E"/>
          </w:tcPr>
          <w:p>
            <w:pPr>
              <w:spacing w:after="0"/>
              <w:rPr>
                <w:sz w:val="11"/>
                <w:szCs w:val="11"/>
                <w:color w:val="auto"/>
              </w:rPr>
            </w:pPr>
          </w:p>
        </w:tc>
        <w:tc>
          <w:tcPr>
            <w:tcW w:w="1060" w:type="dxa"/>
            <w:vAlign w:val="bottom"/>
            <w:shd w:val="clear" w:color="auto" w:fill="47829E"/>
          </w:tcPr>
          <w:p>
            <w:pPr>
              <w:spacing w:after="0"/>
              <w:rPr>
                <w:sz w:val="11"/>
                <w:szCs w:val="11"/>
                <w:color w:val="auto"/>
              </w:rPr>
            </w:pPr>
          </w:p>
        </w:tc>
        <w:tc>
          <w:tcPr>
            <w:tcW w:w="340" w:type="dxa"/>
            <w:vAlign w:val="bottom"/>
            <w:tcBorders>
              <w:right w:val="single" w:sz="8" w:color="47829E"/>
            </w:tcBorders>
            <w:shd w:val="clear" w:color="auto" w:fill="47829E"/>
          </w:tcPr>
          <w:p>
            <w:pPr>
              <w:spacing w:after="0"/>
              <w:rPr>
                <w:sz w:val="11"/>
                <w:szCs w:val="11"/>
                <w:color w:val="auto"/>
              </w:rPr>
            </w:pPr>
          </w:p>
        </w:tc>
        <w:tc>
          <w:tcPr>
            <w:tcW w:w="1280" w:type="dxa"/>
            <w:vAlign w:val="bottom"/>
            <w:shd w:val="clear" w:color="auto" w:fill="47829E"/>
          </w:tcPr>
          <w:p>
            <w:pPr>
              <w:spacing w:after="0"/>
              <w:rPr>
                <w:sz w:val="11"/>
                <w:szCs w:val="11"/>
                <w:color w:val="auto"/>
              </w:rPr>
            </w:pPr>
          </w:p>
        </w:tc>
        <w:tc>
          <w:tcPr>
            <w:tcW w:w="320" w:type="dxa"/>
            <w:vAlign w:val="bottom"/>
            <w:tcBorders>
              <w:right w:val="single" w:sz="8" w:color="47829E"/>
            </w:tcBorders>
            <w:shd w:val="clear" w:color="auto" w:fill="47829E"/>
          </w:tcPr>
          <w:p>
            <w:pPr>
              <w:spacing w:after="0"/>
              <w:rPr>
                <w:sz w:val="11"/>
                <w:szCs w:val="11"/>
                <w:color w:val="auto"/>
              </w:rPr>
            </w:pPr>
          </w:p>
        </w:tc>
        <w:tc>
          <w:tcPr>
            <w:tcW w:w="1600" w:type="dxa"/>
            <w:vAlign w:val="bottom"/>
            <w:tcBorders>
              <w:right w:val="single" w:sz="8" w:color="47829E"/>
            </w:tcBorders>
            <w:shd w:val="clear" w:color="auto" w:fill="47829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820" w:type="dxa"/>
            <w:vAlign w:val="bottom"/>
            <w:tcBorders>
              <w:left w:val="single" w:sz="8" w:color="47829E"/>
              <w:right w:val="single" w:sz="8" w:color="47829E"/>
            </w:tcBorders>
            <w:shd w:val="clear" w:color="auto" w:fill="47829E"/>
          </w:tcPr>
          <w:p>
            <w:pPr>
              <w:ind w:left="120"/>
              <w:spacing w:after="0"/>
              <w:rPr>
                <w:sz w:val="20"/>
                <w:szCs w:val="20"/>
                <w:color w:val="auto"/>
              </w:rPr>
            </w:pPr>
            <w:r>
              <w:rPr>
                <w:rFonts w:ascii="Arial" w:cs="Arial" w:eastAsia="Arial" w:hAnsi="Arial"/>
                <w:sz w:val="14"/>
                <w:szCs w:val="14"/>
                <w:b w:val="1"/>
                <w:bCs w:val="1"/>
                <w:color w:val="FFFFFF"/>
              </w:rPr>
              <w:t>Ranking Position</w:t>
            </w:r>
          </w:p>
        </w:tc>
        <w:tc>
          <w:tcPr>
            <w:tcW w:w="1720" w:type="dxa"/>
            <w:vAlign w:val="bottom"/>
            <w:tcBorders>
              <w:right w:val="single" w:sz="8" w:color="47829E"/>
            </w:tcBorders>
            <w:shd w:val="clear" w:color="auto" w:fill="47829E"/>
          </w:tcPr>
          <w:p>
            <w:pPr>
              <w:jc w:val="right"/>
              <w:ind w:right="332"/>
              <w:spacing w:after="0"/>
              <w:rPr>
                <w:sz w:val="20"/>
                <w:szCs w:val="20"/>
                <w:color w:val="auto"/>
              </w:rPr>
            </w:pPr>
            <w:r>
              <w:rPr>
                <w:rFonts w:ascii="Arial" w:cs="Arial" w:eastAsia="Arial" w:hAnsi="Arial"/>
                <w:sz w:val="14"/>
                <w:szCs w:val="14"/>
                <w:b w:val="1"/>
                <w:bCs w:val="1"/>
                <w:color w:val="FFFFFF"/>
              </w:rPr>
              <w:t>Payout %</w:t>
            </w:r>
          </w:p>
        </w:tc>
        <w:tc>
          <w:tcPr>
            <w:tcW w:w="1040" w:type="dxa"/>
            <w:vAlign w:val="bottom"/>
            <w:shd w:val="clear" w:color="auto" w:fill="47829E"/>
          </w:tcPr>
          <w:p>
            <w:pPr>
              <w:ind w:left="600"/>
              <w:spacing w:after="0"/>
              <w:rPr>
                <w:sz w:val="20"/>
                <w:szCs w:val="20"/>
                <w:color w:val="auto"/>
              </w:rPr>
            </w:pPr>
            <w:r>
              <w:rPr>
                <w:rFonts w:ascii="Arial" w:cs="Arial" w:eastAsia="Arial" w:hAnsi="Arial"/>
                <w:sz w:val="14"/>
                <w:szCs w:val="14"/>
                <w:b w:val="1"/>
                <w:bCs w:val="1"/>
                <w:color w:val="FFFFFF"/>
                <w:w w:val="93"/>
              </w:rPr>
              <w:t>Return</w:t>
            </w:r>
          </w:p>
        </w:tc>
        <w:tc>
          <w:tcPr>
            <w:tcW w:w="340" w:type="dxa"/>
            <w:vAlign w:val="bottom"/>
            <w:tcBorders>
              <w:right w:val="single" w:sz="8" w:color="47829E"/>
            </w:tcBorders>
            <w:shd w:val="clear" w:color="auto" w:fill="47829E"/>
          </w:tcPr>
          <w:p>
            <w:pPr>
              <w:spacing w:after="0"/>
              <w:rPr>
                <w:sz w:val="15"/>
                <w:szCs w:val="15"/>
                <w:color w:val="auto"/>
              </w:rPr>
            </w:pPr>
          </w:p>
        </w:tc>
        <w:tc>
          <w:tcPr>
            <w:tcW w:w="1060" w:type="dxa"/>
            <w:vAlign w:val="bottom"/>
            <w:shd w:val="clear" w:color="auto" w:fill="47829E"/>
          </w:tcPr>
          <w:p>
            <w:pPr>
              <w:ind w:left="600"/>
              <w:spacing w:after="0"/>
              <w:rPr>
                <w:sz w:val="20"/>
                <w:szCs w:val="20"/>
                <w:color w:val="auto"/>
              </w:rPr>
            </w:pPr>
            <w:r>
              <w:rPr>
                <w:rFonts w:ascii="Arial" w:cs="Arial" w:eastAsia="Arial" w:hAnsi="Arial"/>
                <w:sz w:val="14"/>
                <w:szCs w:val="14"/>
                <w:b w:val="1"/>
                <w:bCs w:val="1"/>
                <w:color w:val="FFFFFF"/>
                <w:w w:val="89"/>
              </w:rPr>
              <w:t>Growth</w:t>
            </w:r>
          </w:p>
        </w:tc>
        <w:tc>
          <w:tcPr>
            <w:tcW w:w="340" w:type="dxa"/>
            <w:vAlign w:val="bottom"/>
            <w:tcBorders>
              <w:right w:val="single" w:sz="8" w:color="47829E"/>
            </w:tcBorders>
            <w:shd w:val="clear" w:color="auto" w:fill="47829E"/>
          </w:tcPr>
          <w:p>
            <w:pPr>
              <w:spacing w:after="0"/>
              <w:rPr>
                <w:sz w:val="15"/>
                <w:szCs w:val="15"/>
                <w:color w:val="auto"/>
              </w:rPr>
            </w:pPr>
          </w:p>
        </w:tc>
        <w:tc>
          <w:tcPr>
            <w:tcW w:w="1280" w:type="dxa"/>
            <w:vAlign w:val="bottom"/>
            <w:shd w:val="clear" w:color="auto" w:fill="47829E"/>
          </w:tcPr>
          <w:p>
            <w:pPr>
              <w:ind w:left="600"/>
              <w:spacing w:after="0"/>
              <w:rPr>
                <w:sz w:val="20"/>
                <w:szCs w:val="20"/>
                <w:color w:val="auto"/>
              </w:rPr>
            </w:pPr>
            <w:r>
              <w:rPr>
                <w:rFonts w:ascii="Arial" w:cs="Arial" w:eastAsia="Arial" w:hAnsi="Arial"/>
                <w:sz w:val="14"/>
                <w:szCs w:val="14"/>
                <w:b w:val="1"/>
                <w:bCs w:val="1"/>
                <w:color w:val="FFFFFF"/>
                <w:w w:val="94"/>
              </w:rPr>
              <w:t>Cash Flow</w:t>
            </w:r>
          </w:p>
        </w:tc>
        <w:tc>
          <w:tcPr>
            <w:tcW w:w="320" w:type="dxa"/>
            <w:vAlign w:val="bottom"/>
            <w:tcBorders>
              <w:right w:val="single" w:sz="8" w:color="47829E"/>
            </w:tcBorders>
            <w:shd w:val="clear" w:color="auto" w:fill="47829E"/>
          </w:tcPr>
          <w:p>
            <w:pPr>
              <w:spacing w:after="0"/>
              <w:rPr>
                <w:sz w:val="15"/>
                <w:szCs w:val="15"/>
                <w:color w:val="auto"/>
              </w:rPr>
            </w:pPr>
          </w:p>
        </w:tc>
        <w:tc>
          <w:tcPr>
            <w:tcW w:w="1600" w:type="dxa"/>
            <w:vAlign w:val="bottom"/>
            <w:tcBorders>
              <w:right w:val="single" w:sz="8" w:color="47829E"/>
            </w:tcBorders>
            <w:shd w:val="clear" w:color="auto" w:fill="47829E"/>
          </w:tcPr>
          <w:p>
            <w:pPr>
              <w:jc w:val="right"/>
              <w:ind w:right="432"/>
              <w:spacing w:after="0"/>
              <w:rPr>
                <w:sz w:val="20"/>
                <w:szCs w:val="20"/>
                <w:color w:val="auto"/>
              </w:rPr>
            </w:pPr>
            <w:r>
              <w:rPr>
                <w:rFonts w:ascii="Arial" w:cs="Arial" w:eastAsia="Arial" w:hAnsi="Arial"/>
                <w:sz w:val="14"/>
                <w:szCs w:val="14"/>
                <w:b w:val="1"/>
                <w:bCs w:val="1"/>
                <w:color w:val="FFFFFF"/>
              </w:rPr>
              <w:t>EBITDA</w:t>
            </w:r>
          </w:p>
        </w:tc>
        <w:tc>
          <w:tcPr>
            <w:tcW w:w="0" w:type="dxa"/>
            <w:vAlign w:val="bottom"/>
          </w:tcPr>
          <w:p>
            <w:pPr>
              <w:spacing w:after="0"/>
              <w:rPr>
                <w:sz w:val="1"/>
                <w:szCs w:val="1"/>
                <w:color w:val="auto"/>
              </w:rPr>
            </w:pPr>
          </w:p>
        </w:tc>
      </w:tr>
      <w:tr>
        <w:trPr>
          <w:trHeight w:val="149"/>
        </w:trPr>
        <w:tc>
          <w:tcPr>
            <w:tcW w:w="2820" w:type="dxa"/>
            <w:vAlign w:val="bottom"/>
            <w:tcBorders>
              <w:left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1</w:t>
            </w:r>
          </w:p>
        </w:tc>
        <w:tc>
          <w:tcPr>
            <w:tcW w:w="172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75%</w:t>
            </w:r>
          </w:p>
        </w:tc>
        <w:tc>
          <w:tcPr>
            <w:tcW w:w="1040" w:type="dxa"/>
            <w:vAlign w:val="bottom"/>
          </w:tcPr>
          <w:p>
            <w:pPr>
              <w:spacing w:after="0"/>
              <w:rPr>
                <w:sz w:val="12"/>
                <w:szCs w:val="12"/>
                <w:color w:val="auto"/>
              </w:rPr>
            </w:pPr>
          </w:p>
        </w:tc>
        <w:tc>
          <w:tcPr>
            <w:tcW w:w="340" w:type="dxa"/>
            <w:vAlign w:val="bottom"/>
            <w:tcBorders>
              <w:right w:val="single" w:sz="8" w:color="47829E"/>
            </w:tcBorders>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Borders>
              <w:right w:val="single" w:sz="8" w:color="47829E"/>
            </w:tcBorders>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Borders>
              <w:right w:val="single" w:sz="8" w:color="47829E"/>
            </w:tcBorders>
          </w:tcPr>
          <w:p>
            <w:pPr>
              <w:spacing w:after="0"/>
              <w:rPr>
                <w:sz w:val="12"/>
                <w:szCs w:val="12"/>
                <w:color w:val="auto"/>
              </w:rPr>
            </w:pPr>
          </w:p>
        </w:tc>
        <w:tc>
          <w:tcPr>
            <w:tcW w:w="160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Borders>
              <w:left w:val="single" w:sz="8" w:color="47829E"/>
              <w:right w:val="single" w:sz="8" w:color="47829E"/>
            </w:tcBorders>
            <w:shd w:val="clear" w:color="auto" w:fill="E3ECF0"/>
          </w:tcPr>
          <w:p>
            <w:pPr>
              <w:ind w:left="120"/>
              <w:spacing w:after="0" w:line="149" w:lineRule="exact"/>
              <w:rPr>
                <w:sz w:val="20"/>
                <w:szCs w:val="20"/>
                <w:color w:val="auto"/>
              </w:rPr>
            </w:pPr>
            <w:r>
              <w:rPr>
                <w:rFonts w:ascii="Arial" w:cs="Arial" w:eastAsia="Arial" w:hAnsi="Arial"/>
                <w:sz w:val="14"/>
                <w:szCs w:val="14"/>
                <w:color w:val="auto"/>
              </w:rPr>
              <w:t>2</w:t>
            </w:r>
          </w:p>
        </w:tc>
        <w:tc>
          <w:tcPr>
            <w:tcW w:w="172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75%</w:t>
            </w:r>
          </w:p>
        </w:tc>
        <w:tc>
          <w:tcPr>
            <w:tcW w:w="1040" w:type="dxa"/>
            <w:vAlign w:val="bottom"/>
            <w:shd w:val="clear" w:color="auto" w:fill="E3ECF0"/>
          </w:tcPr>
          <w:p>
            <w:pPr>
              <w:spacing w:after="0"/>
              <w:rPr>
                <w:sz w:val="12"/>
                <w:szCs w:val="12"/>
                <w:color w:val="auto"/>
              </w:rPr>
            </w:pPr>
          </w:p>
        </w:tc>
        <w:tc>
          <w:tcPr>
            <w:tcW w:w="340" w:type="dxa"/>
            <w:vAlign w:val="bottom"/>
            <w:tcBorders>
              <w:right w:val="single" w:sz="8" w:color="47829E"/>
            </w:tcBorders>
            <w:shd w:val="clear" w:color="auto" w:fill="E3ECF0"/>
          </w:tcPr>
          <w:p>
            <w:pPr>
              <w:spacing w:after="0"/>
              <w:rPr>
                <w:sz w:val="12"/>
                <w:szCs w:val="12"/>
                <w:color w:val="auto"/>
              </w:rPr>
            </w:pPr>
          </w:p>
        </w:tc>
        <w:tc>
          <w:tcPr>
            <w:tcW w:w="1060" w:type="dxa"/>
            <w:vAlign w:val="bottom"/>
            <w:shd w:val="clear" w:color="auto" w:fill="E3ECF0"/>
          </w:tcPr>
          <w:p>
            <w:pPr>
              <w:spacing w:after="0"/>
              <w:rPr>
                <w:sz w:val="12"/>
                <w:szCs w:val="12"/>
                <w:color w:val="auto"/>
              </w:rPr>
            </w:pPr>
          </w:p>
        </w:tc>
        <w:tc>
          <w:tcPr>
            <w:tcW w:w="340" w:type="dxa"/>
            <w:vAlign w:val="bottom"/>
            <w:tcBorders>
              <w:right w:val="single" w:sz="8" w:color="47829E"/>
            </w:tcBorders>
            <w:shd w:val="clear" w:color="auto" w:fill="E3ECF0"/>
          </w:tcPr>
          <w:p>
            <w:pPr>
              <w:ind w:left="60"/>
              <w:spacing w:after="0" w:line="149" w:lineRule="exact"/>
              <w:rPr>
                <w:sz w:val="20"/>
                <w:szCs w:val="20"/>
                <w:color w:val="auto"/>
              </w:rPr>
            </w:pPr>
            <w:r>
              <w:rPr>
                <w:rFonts w:ascii="Arial" w:cs="Arial" w:eastAsia="Arial" w:hAnsi="Arial"/>
                <w:sz w:val="14"/>
                <w:szCs w:val="14"/>
                <w:color w:val="auto"/>
              </w:rPr>
              <w:t>X</w:t>
            </w:r>
          </w:p>
        </w:tc>
        <w:tc>
          <w:tcPr>
            <w:tcW w:w="1280" w:type="dxa"/>
            <w:vAlign w:val="bottom"/>
            <w:shd w:val="clear" w:color="auto" w:fill="E3ECF0"/>
          </w:tcPr>
          <w:p>
            <w:pPr>
              <w:spacing w:after="0"/>
              <w:rPr>
                <w:sz w:val="12"/>
                <w:szCs w:val="12"/>
                <w:color w:val="auto"/>
              </w:rPr>
            </w:pPr>
          </w:p>
        </w:tc>
        <w:tc>
          <w:tcPr>
            <w:tcW w:w="320" w:type="dxa"/>
            <w:vAlign w:val="bottom"/>
            <w:tcBorders>
              <w:right w:val="single" w:sz="8" w:color="47829E"/>
            </w:tcBorders>
            <w:shd w:val="clear" w:color="auto" w:fill="E3ECF0"/>
          </w:tcPr>
          <w:p>
            <w:pPr>
              <w:jc w:val="right"/>
              <w:ind w:right="112"/>
              <w:spacing w:after="0" w:line="149" w:lineRule="exact"/>
              <w:rPr>
                <w:sz w:val="20"/>
                <w:szCs w:val="20"/>
                <w:color w:val="auto"/>
              </w:rPr>
            </w:pPr>
            <w:r>
              <w:rPr>
                <w:rFonts w:ascii="Arial" w:cs="Arial" w:eastAsia="Arial" w:hAnsi="Arial"/>
                <w:sz w:val="14"/>
                <w:szCs w:val="14"/>
                <w:color w:val="auto"/>
              </w:rPr>
              <w:t>X</w:t>
            </w:r>
          </w:p>
        </w:tc>
        <w:tc>
          <w:tcPr>
            <w:tcW w:w="1600" w:type="dxa"/>
            <w:vAlign w:val="bottom"/>
            <w:tcBorders>
              <w:right w:val="single" w:sz="8" w:color="47829E"/>
            </w:tcBorders>
            <w:shd w:val="clear" w:color="auto" w:fill="E3ECF0"/>
          </w:tcPr>
          <w:p>
            <w:pPr>
              <w:jc w:val="right"/>
              <w:ind w:right="272"/>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9"/>
        </w:trPr>
        <w:tc>
          <w:tcPr>
            <w:tcW w:w="2820" w:type="dxa"/>
            <w:vAlign w:val="bottom"/>
            <w:tcBorders>
              <w:left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3</w:t>
            </w:r>
          </w:p>
        </w:tc>
        <w:tc>
          <w:tcPr>
            <w:tcW w:w="172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60%</w:t>
            </w:r>
          </w:p>
        </w:tc>
        <w:tc>
          <w:tcPr>
            <w:tcW w:w="1040" w:type="dxa"/>
            <w:vAlign w:val="bottom"/>
          </w:tcPr>
          <w:p>
            <w:pPr>
              <w:spacing w:after="0"/>
              <w:rPr>
                <w:sz w:val="12"/>
                <w:szCs w:val="12"/>
                <w:color w:val="auto"/>
              </w:rPr>
            </w:pPr>
          </w:p>
        </w:tc>
        <w:tc>
          <w:tcPr>
            <w:tcW w:w="340" w:type="dxa"/>
            <w:vAlign w:val="bottom"/>
            <w:tcBorders>
              <w:right w:val="single" w:sz="8" w:color="47829E"/>
            </w:tcBorders>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Borders>
              <w:right w:val="single" w:sz="8" w:color="47829E"/>
            </w:tcBorders>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Borders>
              <w:right w:val="single" w:sz="8" w:color="47829E"/>
            </w:tcBorders>
          </w:tcPr>
          <w:p>
            <w:pPr>
              <w:spacing w:after="0"/>
              <w:rPr>
                <w:sz w:val="12"/>
                <w:szCs w:val="12"/>
                <w:color w:val="auto"/>
              </w:rPr>
            </w:pPr>
          </w:p>
        </w:tc>
        <w:tc>
          <w:tcPr>
            <w:tcW w:w="160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Borders>
              <w:left w:val="single" w:sz="8" w:color="47829E"/>
              <w:right w:val="single" w:sz="8" w:color="47829E"/>
            </w:tcBorders>
            <w:shd w:val="clear" w:color="auto" w:fill="E3ECF0"/>
          </w:tcPr>
          <w:p>
            <w:pPr>
              <w:ind w:left="120"/>
              <w:spacing w:after="0" w:line="149" w:lineRule="exact"/>
              <w:rPr>
                <w:sz w:val="20"/>
                <w:szCs w:val="20"/>
                <w:color w:val="auto"/>
              </w:rPr>
            </w:pPr>
            <w:r>
              <w:rPr>
                <w:rFonts w:ascii="Arial" w:cs="Arial" w:eastAsia="Arial" w:hAnsi="Arial"/>
                <w:sz w:val="14"/>
                <w:szCs w:val="14"/>
                <w:color w:val="auto"/>
              </w:rPr>
              <w:t>4</w:t>
            </w:r>
          </w:p>
        </w:tc>
        <w:tc>
          <w:tcPr>
            <w:tcW w:w="172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50%</w:t>
            </w:r>
          </w:p>
        </w:tc>
        <w:tc>
          <w:tcPr>
            <w:tcW w:w="1040" w:type="dxa"/>
            <w:vAlign w:val="bottom"/>
            <w:shd w:val="clear" w:color="auto" w:fill="E3ECF0"/>
          </w:tcPr>
          <w:p>
            <w:pPr>
              <w:spacing w:after="0"/>
              <w:rPr>
                <w:sz w:val="12"/>
                <w:szCs w:val="12"/>
                <w:color w:val="auto"/>
              </w:rPr>
            </w:pPr>
          </w:p>
        </w:tc>
        <w:tc>
          <w:tcPr>
            <w:tcW w:w="340" w:type="dxa"/>
            <w:vAlign w:val="bottom"/>
            <w:tcBorders>
              <w:right w:val="single" w:sz="8" w:color="47829E"/>
            </w:tcBorders>
            <w:shd w:val="clear" w:color="auto" w:fill="E3ECF0"/>
          </w:tcPr>
          <w:p>
            <w:pPr>
              <w:jc w:val="right"/>
              <w:ind w:right="112"/>
              <w:spacing w:after="0" w:line="149" w:lineRule="exact"/>
              <w:rPr>
                <w:sz w:val="20"/>
                <w:szCs w:val="20"/>
                <w:color w:val="auto"/>
              </w:rPr>
            </w:pPr>
            <w:r>
              <w:rPr>
                <w:rFonts w:ascii="Arial" w:cs="Arial" w:eastAsia="Arial" w:hAnsi="Arial"/>
                <w:sz w:val="14"/>
                <w:szCs w:val="14"/>
                <w:color w:val="auto"/>
              </w:rPr>
              <w:t>X</w:t>
            </w:r>
          </w:p>
        </w:tc>
        <w:tc>
          <w:tcPr>
            <w:tcW w:w="1060" w:type="dxa"/>
            <w:vAlign w:val="bottom"/>
            <w:shd w:val="clear" w:color="auto" w:fill="E3ECF0"/>
          </w:tcPr>
          <w:p>
            <w:pPr>
              <w:spacing w:after="0"/>
              <w:rPr>
                <w:sz w:val="12"/>
                <w:szCs w:val="12"/>
                <w:color w:val="auto"/>
              </w:rPr>
            </w:pPr>
          </w:p>
        </w:tc>
        <w:tc>
          <w:tcPr>
            <w:tcW w:w="340" w:type="dxa"/>
            <w:vAlign w:val="bottom"/>
            <w:tcBorders>
              <w:right w:val="single" w:sz="8" w:color="47829E"/>
            </w:tcBorders>
            <w:shd w:val="clear" w:color="auto" w:fill="E3ECF0"/>
          </w:tcPr>
          <w:p>
            <w:pPr>
              <w:spacing w:after="0"/>
              <w:rPr>
                <w:sz w:val="12"/>
                <w:szCs w:val="12"/>
                <w:color w:val="auto"/>
              </w:rPr>
            </w:pPr>
          </w:p>
        </w:tc>
        <w:tc>
          <w:tcPr>
            <w:tcW w:w="1280" w:type="dxa"/>
            <w:vAlign w:val="bottom"/>
            <w:shd w:val="clear" w:color="auto" w:fill="E3ECF0"/>
          </w:tcPr>
          <w:p>
            <w:pPr>
              <w:spacing w:after="0"/>
              <w:rPr>
                <w:sz w:val="12"/>
                <w:szCs w:val="12"/>
                <w:color w:val="auto"/>
              </w:rPr>
            </w:pPr>
          </w:p>
        </w:tc>
        <w:tc>
          <w:tcPr>
            <w:tcW w:w="320" w:type="dxa"/>
            <w:vAlign w:val="bottom"/>
            <w:tcBorders>
              <w:right w:val="single" w:sz="8" w:color="47829E"/>
            </w:tcBorders>
            <w:shd w:val="clear" w:color="auto" w:fill="E3ECF0"/>
          </w:tcPr>
          <w:p>
            <w:pPr>
              <w:spacing w:after="0"/>
              <w:rPr>
                <w:sz w:val="12"/>
                <w:szCs w:val="12"/>
                <w:color w:val="auto"/>
              </w:rPr>
            </w:pPr>
          </w:p>
        </w:tc>
        <w:tc>
          <w:tcPr>
            <w:tcW w:w="1600" w:type="dxa"/>
            <w:vAlign w:val="bottom"/>
            <w:tcBorders>
              <w:right w:val="single" w:sz="8" w:color="47829E"/>
            </w:tcBorders>
            <w:shd w:val="clear" w:color="auto" w:fill="E3ECF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Borders>
              <w:left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5</w:t>
            </w:r>
          </w:p>
        </w:tc>
        <w:tc>
          <w:tcPr>
            <w:tcW w:w="172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40%</w:t>
            </w:r>
          </w:p>
        </w:tc>
        <w:tc>
          <w:tcPr>
            <w:tcW w:w="1040" w:type="dxa"/>
            <w:vAlign w:val="bottom"/>
          </w:tcPr>
          <w:p>
            <w:pPr>
              <w:spacing w:after="0"/>
              <w:rPr>
                <w:sz w:val="12"/>
                <w:szCs w:val="12"/>
                <w:color w:val="auto"/>
              </w:rPr>
            </w:pPr>
          </w:p>
        </w:tc>
        <w:tc>
          <w:tcPr>
            <w:tcW w:w="340" w:type="dxa"/>
            <w:vAlign w:val="bottom"/>
            <w:tcBorders>
              <w:right w:val="single" w:sz="8" w:color="47829E"/>
            </w:tcBorders>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Borders>
              <w:right w:val="single" w:sz="8" w:color="47829E"/>
            </w:tcBorders>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Borders>
              <w:right w:val="single" w:sz="8" w:color="47829E"/>
            </w:tcBorders>
          </w:tcPr>
          <w:p>
            <w:pPr>
              <w:spacing w:after="0"/>
              <w:rPr>
                <w:sz w:val="12"/>
                <w:szCs w:val="12"/>
                <w:color w:val="auto"/>
              </w:rPr>
            </w:pPr>
          </w:p>
        </w:tc>
        <w:tc>
          <w:tcPr>
            <w:tcW w:w="160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Borders>
              <w:left w:val="single" w:sz="8" w:color="47829E"/>
              <w:right w:val="single" w:sz="8" w:color="47829E"/>
            </w:tcBorders>
            <w:shd w:val="clear" w:color="auto" w:fill="E3ECF0"/>
          </w:tcPr>
          <w:p>
            <w:pPr>
              <w:ind w:left="120"/>
              <w:spacing w:after="0" w:line="149" w:lineRule="exact"/>
              <w:rPr>
                <w:sz w:val="20"/>
                <w:szCs w:val="20"/>
                <w:color w:val="auto"/>
              </w:rPr>
            </w:pPr>
            <w:r>
              <w:rPr>
                <w:rFonts w:ascii="Arial" w:cs="Arial" w:eastAsia="Arial" w:hAnsi="Arial"/>
                <w:sz w:val="14"/>
                <w:szCs w:val="14"/>
                <w:color w:val="auto"/>
              </w:rPr>
              <w:t>6</w:t>
            </w:r>
          </w:p>
        </w:tc>
        <w:tc>
          <w:tcPr>
            <w:tcW w:w="172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0%</w:t>
            </w:r>
          </w:p>
        </w:tc>
        <w:tc>
          <w:tcPr>
            <w:tcW w:w="1040" w:type="dxa"/>
            <w:vAlign w:val="bottom"/>
            <w:shd w:val="clear" w:color="auto" w:fill="E3ECF0"/>
          </w:tcPr>
          <w:p>
            <w:pPr>
              <w:spacing w:after="0"/>
              <w:rPr>
                <w:sz w:val="12"/>
                <w:szCs w:val="12"/>
                <w:color w:val="auto"/>
              </w:rPr>
            </w:pPr>
          </w:p>
        </w:tc>
        <w:tc>
          <w:tcPr>
            <w:tcW w:w="340" w:type="dxa"/>
            <w:vAlign w:val="bottom"/>
            <w:tcBorders>
              <w:right w:val="single" w:sz="8" w:color="47829E"/>
            </w:tcBorders>
            <w:shd w:val="clear" w:color="auto" w:fill="E3ECF0"/>
          </w:tcPr>
          <w:p>
            <w:pPr>
              <w:spacing w:after="0"/>
              <w:rPr>
                <w:sz w:val="12"/>
                <w:szCs w:val="12"/>
                <w:color w:val="auto"/>
              </w:rPr>
            </w:pPr>
          </w:p>
        </w:tc>
        <w:tc>
          <w:tcPr>
            <w:tcW w:w="1060" w:type="dxa"/>
            <w:vAlign w:val="bottom"/>
            <w:shd w:val="clear" w:color="auto" w:fill="E3ECF0"/>
          </w:tcPr>
          <w:p>
            <w:pPr>
              <w:spacing w:after="0"/>
              <w:rPr>
                <w:sz w:val="12"/>
                <w:szCs w:val="12"/>
                <w:color w:val="auto"/>
              </w:rPr>
            </w:pPr>
          </w:p>
        </w:tc>
        <w:tc>
          <w:tcPr>
            <w:tcW w:w="340" w:type="dxa"/>
            <w:vAlign w:val="bottom"/>
            <w:tcBorders>
              <w:right w:val="single" w:sz="8" w:color="47829E"/>
            </w:tcBorders>
            <w:shd w:val="clear" w:color="auto" w:fill="E3ECF0"/>
          </w:tcPr>
          <w:p>
            <w:pPr>
              <w:spacing w:after="0"/>
              <w:rPr>
                <w:sz w:val="12"/>
                <w:szCs w:val="12"/>
                <w:color w:val="auto"/>
              </w:rPr>
            </w:pPr>
          </w:p>
        </w:tc>
        <w:tc>
          <w:tcPr>
            <w:tcW w:w="1280" w:type="dxa"/>
            <w:vAlign w:val="bottom"/>
            <w:shd w:val="clear" w:color="auto" w:fill="E3ECF0"/>
          </w:tcPr>
          <w:p>
            <w:pPr>
              <w:spacing w:after="0"/>
              <w:rPr>
                <w:sz w:val="12"/>
                <w:szCs w:val="12"/>
                <w:color w:val="auto"/>
              </w:rPr>
            </w:pPr>
          </w:p>
        </w:tc>
        <w:tc>
          <w:tcPr>
            <w:tcW w:w="320" w:type="dxa"/>
            <w:vAlign w:val="bottom"/>
            <w:tcBorders>
              <w:right w:val="single" w:sz="8" w:color="47829E"/>
            </w:tcBorders>
            <w:shd w:val="clear" w:color="auto" w:fill="E3ECF0"/>
          </w:tcPr>
          <w:p>
            <w:pPr>
              <w:spacing w:after="0"/>
              <w:rPr>
                <w:sz w:val="12"/>
                <w:szCs w:val="12"/>
                <w:color w:val="auto"/>
              </w:rPr>
            </w:pPr>
          </w:p>
        </w:tc>
        <w:tc>
          <w:tcPr>
            <w:tcW w:w="1600" w:type="dxa"/>
            <w:vAlign w:val="bottom"/>
            <w:tcBorders>
              <w:right w:val="single" w:sz="8" w:color="47829E"/>
            </w:tcBorders>
            <w:shd w:val="clear" w:color="auto" w:fill="E3ECF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Borders>
              <w:left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7</w:t>
            </w:r>
          </w:p>
        </w:tc>
        <w:tc>
          <w:tcPr>
            <w:tcW w:w="172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0%</w:t>
            </w:r>
          </w:p>
        </w:tc>
        <w:tc>
          <w:tcPr>
            <w:tcW w:w="1040" w:type="dxa"/>
            <w:vAlign w:val="bottom"/>
          </w:tcPr>
          <w:p>
            <w:pPr>
              <w:spacing w:after="0"/>
              <w:rPr>
                <w:sz w:val="12"/>
                <w:szCs w:val="12"/>
                <w:color w:val="auto"/>
              </w:rPr>
            </w:pPr>
          </w:p>
        </w:tc>
        <w:tc>
          <w:tcPr>
            <w:tcW w:w="340" w:type="dxa"/>
            <w:vAlign w:val="bottom"/>
            <w:tcBorders>
              <w:right w:val="single" w:sz="8" w:color="47829E"/>
            </w:tcBorders>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Borders>
              <w:right w:val="single" w:sz="8" w:color="47829E"/>
            </w:tcBorders>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Borders>
              <w:right w:val="single" w:sz="8" w:color="47829E"/>
            </w:tcBorders>
          </w:tcPr>
          <w:p>
            <w:pPr>
              <w:spacing w:after="0"/>
              <w:rPr>
                <w:sz w:val="12"/>
                <w:szCs w:val="12"/>
                <w:color w:val="auto"/>
              </w:rPr>
            </w:pPr>
          </w:p>
        </w:tc>
        <w:tc>
          <w:tcPr>
            <w:tcW w:w="160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Borders>
              <w:left w:val="single" w:sz="8" w:color="47829E"/>
              <w:right w:val="single" w:sz="8" w:color="E3ECF0"/>
            </w:tcBorders>
            <w:shd w:val="clear" w:color="auto" w:fill="E3ECF0"/>
          </w:tcPr>
          <w:p>
            <w:pPr>
              <w:ind w:left="120"/>
              <w:spacing w:after="0" w:line="149" w:lineRule="exact"/>
              <w:rPr>
                <w:sz w:val="20"/>
                <w:szCs w:val="20"/>
                <w:color w:val="auto"/>
              </w:rPr>
            </w:pPr>
            <w:r>
              <w:rPr>
                <w:rFonts w:ascii="Arial" w:cs="Arial" w:eastAsia="Arial" w:hAnsi="Arial"/>
                <w:sz w:val="14"/>
                <w:szCs w:val="14"/>
                <w:color w:val="auto"/>
              </w:rPr>
              <w:t>Award Achievement Per Measure</w:t>
            </w:r>
          </w:p>
        </w:tc>
        <w:tc>
          <w:tcPr>
            <w:tcW w:w="1720" w:type="dxa"/>
            <w:vAlign w:val="bottom"/>
            <w:tcBorders>
              <w:right w:val="single" w:sz="8" w:color="47829E"/>
            </w:tcBorders>
            <w:shd w:val="clear" w:color="auto" w:fill="E3ECF0"/>
          </w:tcPr>
          <w:p>
            <w:pPr>
              <w:spacing w:after="0"/>
              <w:rPr>
                <w:sz w:val="12"/>
                <w:szCs w:val="12"/>
                <w:color w:val="auto"/>
              </w:rPr>
            </w:pPr>
          </w:p>
        </w:tc>
        <w:tc>
          <w:tcPr>
            <w:tcW w:w="1040" w:type="dxa"/>
            <w:vAlign w:val="bottom"/>
            <w:shd w:val="clear" w:color="auto" w:fill="E3ECF0"/>
          </w:tcPr>
          <w:p>
            <w:pPr>
              <w:spacing w:after="0"/>
              <w:rPr>
                <w:sz w:val="12"/>
                <w:szCs w:val="12"/>
                <w:color w:val="auto"/>
              </w:rPr>
            </w:pPr>
          </w:p>
        </w:tc>
        <w:tc>
          <w:tcPr>
            <w:tcW w:w="340" w:type="dxa"/>
            <w:vAlign w:val="bottom"/>
            <w:tcBorders>
              <w:right w:val="single" w:sz="8" w:color="47829E"/>
            </w:tcBorders>
            <w:shd w:val="clear" w:color="auto" w:fill="E3ECF0"/>
          </w:tcPr>
          <w:p>
            <w:pPr>
              <w:jc w:val="right"/>
              <w:spacing w:after="0" w:line="149" w:lineRule="exact"/>
              <w:rPr>
                <w:sz w:val="20"/>
                <w:szCs w:val="20"/>
                <w:color w:val="auto"/>
              </w:rPr>
            </w:pPr>
            <w:r>
              <w:rPr>
                <w:rFonts w:ascii="Arial" w:cs="Arial" w:eastAsia="Arial" w:hAnsi="Arial"/>
                <w:sz w:val="14"/>
                <w:szCs w:val="14"/>
                <w:color w:val="auto"/>
                <w:w w:val="92"/>
              </w:rPr>
              <w:t>50%</w:t>
            </w:r>
          </w:p>
        </w:tc>
        <w:tc>
          <w:tcPr>
            <w:tcW w:w="1060" w:type="dxa"/>
            <w:vAlign w:val="bottom"/>
            <w:shd w:val="clear" w:color="auto" w:fill="E3ECF0"/>
          </w:tcPr>
          <w:p>
            <w:pPr>
              <w:spacing w:after="0"/>
              <w:rPr>
                <w:sz w:val="12"/>
                <w:szCs w:val="12"/>
                <w:color w:val="auto"/>
              </w:rPr>
            </w:pPr>
          </w:p>
        </w:tc>
        <w:tc>
          <w:tcPr>
            <w:tcW w:w="340" w:type="dxa"/>
            <w:vAlign w:val="bottom"/>
            <w:tcBorders>
              <w:right w:val="single" w:sz="8" w:color="47829E"/>
            </w:tcBorders>
            <w:shd w:val="clear" w:color="auto" w:fill="E3ECF0"/>
          </w:tcPr>
          <w:p>
            <w:pPr>
              <w:spacing w:after="0" w:line="149" w:lineRule="exact"/>
              <w:rPr>
                <w:sz w:val="20"/>
                <w:szCs w:val="20"/>
                <w:color w:val="auto"/>
              </w:rPr>
            </w:pPr>
            <w:r>
              <w:rPr>
                <w:rFonts w:ascii="Arial" w:cs="Arial" w:eastAsia="Arial" w:hAnsi="Arial"/>
                <w:sz w:val="14"/>
                <w:szCs w:val="14"/>
                <w:color w:val="auto"/>
              </w:rPr>
              <w:t>75%</w:t>
            </w:r>
          </w:p>
        </w:tc>
        <w:tc>
          <w:tcPr>
            <w:tcW w:w="1280" w:type="dxa"/>
            <w:vAlign w:val="bottom"/>
            <w:shd w:val="clear" w:color="auto" w:fill="E3ECF0"/>
          </w:tcPr>
          <w:p>
            <w:pPr>
              <w:spacing w:after="0"/>
              <w:rPr>
                <w:sz w:val="12"/>
                <w:szCs w:val="12"/>
                <w:color w:val="auto"/>
              </w:rPr>
            </w:pPr>
          </w:p>
        </w:tc>
        <w:tc>
          <w:tcPr>
            <w:tcW w:w="320" w:type="dxa"/>
            <w:vAlign w:val="bottom"/>
            <w:tcBorders>
              <w:right w:val="single" w:sz="8" w:color="47829E"/>
            </w:tcBorders>
            <w:shd w:val="clear" w:color="auto" w:fill="E3ECF0"/>
          </w:tcPr>
          <w:p>
            <w:pPr>
              <w:jc w:val="right"/>
              <w:spacing w:after="0" w:line="149" w:lineRule="exact"/>
              <w:rPr>
                <w:sz w:val="20"/>
                <w:szCs w:val="20"/>
                <w:color w:val="auto"/>
              </w:rPr>
            </w:pPr>
            <w:r>
              <w:rPr>
                <w:rFonts w:ascii="Arial" w:cs="Arial" w:eastAsia="Arial" w:hAnsi="Arial"/>
                <w:sz w:val="14"/>
                <w:szCs w:val="14"/>
                <w:color w:val="auto"/>
                <w:w w:val="85"/>
              </w:rPr>
              <w:t>75%</w:t>
            </w:r>
          </w:p>
        </w:tc>
        <w:tc>
          <w:tcPr>
            <w:tcW w:w="1600" w:type="dxa"/>
            <w:vAlign w:val="bottom"/>
            <w:tcBorders>
              <w:right w:val="single" w:sz="8" w:color="47829E"/>
            </w:tcBorders>
            <w:shd w:val="clear" w:color="auto" w:fill="E3ECF0"/>
          </w:tcPr>
          <w:p>
            <w:pPr>
              <w:jc w:val="right"/>
              <w:ind w:right="152"/>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820" w:type="dxa"/>
            <w:vAlign w:val="bottom"/>
            <w:tcBorders>
              <w:left w:val="single" w:sz="8" w:color="47829E"/>
              <w:bottom w:val="single" w:sz="8" w:color="47829E"/>
            </w:tcBorders>
          </w:tcPr>
          <w:p>
            <w:pPr>
              <w:spacing w:after="0"/>
              <w:rPr>
                <w:sz w:val="12"/>
                <w:szCs w:val="12"/>
                <w:color w:val="auto"/>
              </w:rPr>
            </w:pPr>
          </w:p>
        </w:tc>
        <w:tc>
          <w:tcPr>
            <w:tcW w:w="4160" w:type="dxa"/>
            <w:vAlign w:val="bottom"/>
            <w:tcBorders>
              <w:bottom w:val="single" w:sz="8" w:color="47829E"/>
            </w:tcBorders>
            <w:gridSpan w:val="4"/>
          </w:tcPr>
          <w:p>
            <w:pPr>
              <w:ind w:left="680"/>
              <w:spacing w:after="0" w:line="149" w:lineRule="exact"/>
              <w:rPr>
                <w:sz w:val="20"/>
                <w:szCs w:val="20"/>
                <w:color w:val="auto"/>
              </w:rPr>
            </w:pPr>
            <w:r>
              <w:rPr>
                <w:rFonts w:ascii="Arial" w:cs="Arial" w:eastAsia="Arial" w:hAnsi="Arial"/>
                <w:sz w:val="14"/>
                <w:szCs w:val="14"/>
                <w:b w:val="1"/>
                <w:bCs w:val="1"/>
                <w:color w:val="auto"/>
              </w:rPr>
              <w:t>2014 Grant Size (average scores) = 68.75% of target</w:t>
            </w:r>
          </w:p>
        </w:tc>
        <w:tc>
          <w:tcPr>
            <w:tcW w:w="340" w:type="dxa"/>
            <w:vAlign w:val="bottom"/>
            <w:tcBorders>
              <w:bottom w:val="single" w:sz="8" w:color="47829E"/>
            </w:tcBorders>
          </w:tcPr>
          <w:p>
            <w:pPr>
              <w:spacing w:after="0"/>
              <w:rPr>
                <w:sz w:val="12"/>
                <w:szCs w:val="12"/>
                <w:color w:val="auto"/>
              </w:rPr>
            </w:pPr>
          </w:p>
        </w:tc>
        <w:tc>
          <w:tcPr>
            <w:tcW w:w="1280" w:type="dxa"/>
            <w:vAlign w:val="bottom"/>
            <w:tcBorders>
              <w:bottom w:val="single" w:sz="8" w:color="47829E"/>
            </w:tcBorders>
          </w:tcPr>
          <w:p>
            <w:pPr>
              <w:spacing w:after="0"/>
              <w:rPr>
                <w:sz w:val="12"/>
                <w:szCs w:val="12"/>
                <w:color w:val="auto"/>
              </w:rPr>
            </w:pPr>
          </w:p>
        </w:tc>
        <w:tc>
          <w:tcPr>
            <w:tcW w:w="320" w:type="dxa"/>
            <w:vAlign w:val="bottom"/>
            <w:tcBorders>
              <w:bottom w:val="single" w:sz="8" w:color="47829E"/>
            </w:tcBorders>
          </w:tcPr>
          <w:p>
            <w:pPr>
              <w:spacing w:after="0"/>
              <w:rPr>
                <w:sz w:val="12"/>
                <w:szCs w:val="12"/>
                <w:color w:val="auto"/>
              </w:rPr>
            </w:pPr>
          </w:p>
        </w:tc>
        <w:tc>
          <w:tcPr>
            <w:tcW w:w="1600" w:type="dxa"/>
            <w:vAlign w:val="bottom"/>
            <w:tcBorders>
              <w:bottom w:val="single" w:sz="8" w:color="47829E"/>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40"/>
          </w:cols>
          <w:pgMar w:left="240" w:top="291" w:right="219" w:bottom="1440" w:gutter="0" w:footer="0" w:header="0"/>
          <w:type w:val="continuous"/>
        </w:sectPr>
      </w:pPr>
    </w:p>
    <w:bookmarkStart w:id="43" w:name="page44"/>
    <w:bookmarkEnd w:id="43"/>
    <w:p>
      <w:pPr>
        <w:jc w:val="both"/>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accordance with this formula, awards were granted in 2014 at 68.75% of each executive officer’s target. One-third of the dollar value was then converted to stock options and two-thirds of the dollar value was converted to restricted stock units using the closing price on the date of grant. The one-third stock options and two-thirds restricted stock units valuation bases were determined on a variety of factors, including lattice modeling values for options, median levels of compensation, and a subjective view regarding the appropriate mix of restricted stock units and stock options in light of compensation, incentive and accounting considerations.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stock options granted in 2014 vest ratably over four years and the restricted stock units cliff vest on the third anniversary of the grant date, in each case in general if the executive is continuously employed from the date of grant through the vesting date. Prior to the exercise of a stock option, the holder has no rights as a shareholder with respect to the shares subject to such option, including voting rights and the right to receive dividends or dividend equivalents. Executives who receive awards of restricted stock units (including restricted stock units discussed below) receive dividend equivalents paid on the shares awarded at the same rate and at the same time as the other shareholders of Martin Marietta. The value of the receipt of these dividend equivalents is included in the value of the restricted stock unit awards shown in the Summary Compensation Table. We pay these dividend equivalents to remain competitive on compensation because the majority of other comparable companies in compensation surveys pay dividends or equivalents.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 Awards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2014, the Committee worked with Aon Hewitt and management to develop and approve a new </w:t>
      </w:r>
      <w:r>
        <w:rPr>
          <w:rFonts w:ascii="Arial" w:cs="Arial" w:eastAsia="Arial" w:hAnsi="Arial"/>
          <w:sz w:val="18"/>
          <w:szCs w:val="18"/>
          <w:u w:val="single" w:color="auto"/>
          <w:color w:val="auto"/>
        </w:rPr>
        <w:t>P</w:t>
      </w:r>
      <w:r>
        <w:rPr>
          <w:rFonts w:ascii="Arial" w:cs="Arial" w:eastAsia="Arial" w:hAnsi="Arial"/>
          <w:sz w:val="18"/>
          <w:szCs w:val="18"/>
          <w:color w:val="auto"/>
        </w:rPr>
        <w:t xml:space="preserve">erformance </w:t>
      </w:r>
      <w:r>
        <w:rPr>
          <w:rFonts w:ascii="Arial" w:cs="Arial" w:eastAsia="Arial" w:hAnsi="Arial"/>
          <w:sz w:val="18"/>
          <w:szCs w:val="18"/>
          <w:u w:val="single" w:color="auto"/>
          <w:color w:val="auto"/>
        </w:rPr>
        <w:t>S</w:t>
      </w:r>
      <w:r>
        <w:rPr>
          <w:rFonts w:ascii="Arial" w:cs="Arial" w:eastAsia="Arial" w:hAnsi="Arial"/>
          <w:sz w:val="18"/>
          <w:szCs w:val="18"/>
          <w:color w:val="auto"/>
        </w:rPr>
        <w:t xml:space="preserve">hare </w:t>
      </w:r>
      <w:r>
        <w:rPr>
          <w:rFonts w:ascii="Arial" w:cs="Arial" w:eastAsia="Arial" w:hAnsi="Arial"/>
          <w:sz w:val="18"/>
          <w:szCs w:val="18"/>
          <w:u w:val="single" w:color="auto"/>
          <w:color w:val="auto"/>
        </w:rPr>
        <w:t>U</w:t>
      </w:r>
      <w:r>
        <w:rPr>
          <w:rFonts w:ascii="Arial" w:cs="Arial" w:eastAsia="Arial" w:hAnsi="Arial"/>
          <w:sz w:val="18"/>
          <w:szCs w:val="18"/>
          <w:color w:val="auto"/>
        </w:rPr>
        <w:t>nit (PSU) plan. Eligibility for 2014 PSU grants is limited to the executive officers, the division presidents and the vice president of operations services. The PSUs have a three-year performance period. The 2014 grant measures performance for 2014 through the end of 2016. The performance measures are:</w:t>
      </w:r>
    </w:p>
    <w:p>
      <w:pPr>
        <w:spacing w:after="0" w:line="195"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45% of the total award is return on sales (ROS), measuring cost management,</w:t>
      </w:r>
    </w:p>
    <w:p>
      <w:pPr>
        <w:spacing w:after="0" w:line="76"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30% of the total award is cumulative earnings before interest, taxes, depreciation and amortization (EBITDA), measuring profitability, and</w:t>
      </w:r>
    </w:p>
    <w:p>
      <w:pPr>
        <w:spacing w:after="0" w:line="73"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25% of the total award is relative total shareholder return (TSR), measuring Martin Marietta’s performance against a specified group of peers.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award sets a target that is 40% of each executive officer’s base salary converted to performance shares based on the closing price on the date of grant. The performance for the 2014 awards will be measured in January 2017 for the three-year period beginning January 2014 through December 2016. The Committee in its discretion may adjust the final award values, either collectively or on an individual basis, in recognition of factors that are unusual or nonrecurring. The PSUs will be paid in shares of common stock in January 2017 to the extent that the performance goals have been met.</w:t>
      </w:r>
    </w:p>
    <w:p>
      <w:pPr>
        <w:spacing w:after="0" w:line="15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performance targets for ROS and EBITDA were set consistent with our internal long range operating plan and reflect a stretch effort at the target and maximum levels. The performance target for the TSR portion of the PSU Plan is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against a group of 23 U.S. companies in similar industries. The threshold and maximum performance requirements are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respectively.</w:t>
      </w:r>
    </w:p>
    <w:p>
      <w:pPr>
        <w:spacing w:after="0" w:line="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total payout opportunity is 50% of target if the threshold level is satisfied, 100% of target if the target level is satisfied, and 200% of target if the maximum level is satisfied. If the threshold is not met, none of the PSUs will vest.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measurement period 2014-2016, the Committee utilized a peer group consisting of the following companies with which to compare the element of the PSU Awards requiring achievement of TSR at the end of the three year period, ending December 31, 2016. These companies were chosen with a focus on companies in similar industries as Martin Marietta and that potentially compete for shareholder investment. A governance feature of the PSU Award is that this portion of the payments is capped at target if the Company’s three-year TSR return is negative, regardless of the TSR ranking.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9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2014-2016 TSR Peer Group of 23 companies were identified according to the following criteria and consisted of the following:</w:t>
      </w:r>
    </w:p>
    <w:p>
      <w:pPr>
        <w:spacing w:after="0" w:line="198"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S&amp;P 1500 Materials companies in the Construction Materials, Metals &amp; Mining, and Forest Products industries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S&amp;P 1500 Capital Goods companies in the Construction &amp; Engineering industries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capitalization and annual revenues of at least 20% of Martin Marietta at December 31, 2013</w:t>
      </w:r>
    </w:p>
    <w:p>
      <w:pPr>
        <w:spacing w:after="0" w:line="194"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Arial" w:cs="Arial" w:eastAsia="Arial" w:hAnsi="Arial"/>
                <w:sz w:val="18"/>
                <w:szCs w:val="18"/>
                <w:color w:val="auto"/>
              </w:rPr>
              <w:t>AECOM Technology</w:t>
            </w:r>
          </w:p>
        </w:tc>
        <w:tc>
          <w:tcPr>
            <w:tcW w:w="3640" w:type="dxa"/>
            <w:vAlign w:val="bottom"/>
          </w:tcPr>
          <w:p>
            <w:pPr>
              <w:ind w:left="1060"/>
              <w:spacing w:after="0"/>
              <w:rPr>
                <w:sz w:val="20"/>
                <w:szCs w:val="20"/>
                <w:color w:val="auto"/>
              </w:rPr>
            </w:pPr>
            <w:r>
              <w:rPr>
                <w:rFonts w:ascii="Arial" w:cs="Arial" w:eastAsia="Arial" w:hAnsi="Arial"/>
                <w:sz w:val="18"/>
                <w:szCs w:val="18"/>
                <w:color w:val="auto"/>
              </w:rPr>
              <w:t>Emcor Group</w:t>
            </w:r>
          </w:p>
        </w:tc>
        <w:tc>
          <w:tcPr>
            <w:tcW w:w="2780" w:type="dxa"/>
            <w:vAlign w:val="bottom"/>
          </w:tcPr>
          <w:p>
            <w:pPr>
              <w:ind w:left="1020"/>
              <w:spacing w:after="0"/>
              <w:rPr>
                <w:sz w:val="20"/>
                <w:szCs w:val="20"/>
                <w:color w:val="auto"/>
              </w:rPr>
            </w:pPr>
            <w:r>
              <w:rPr>
                <w:rFonts w:ascii="Arial" w:cs="Arial" w:eastAsia="Arial" w:hAnsi="Arial"/>
                <w:sz w:val="18"/>
                <w:szCs w:val="18"/>
                <w:color w:val="auto"/>
              </w:rPr>
              <w:t>Quanta Services</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Alcoa</w:t>
            </w:r>
          </w:p>
        </w:tc>
        <w:tc>
          <w:tcPr>
            <w:tcW w:w="3640" w:type="dxa"/>
            <w:vAlign w:val="bottom"/>
          </w:tcPr>
          <w:p>
            <w:pPr>
              <w:spacing w:after="0"/>
              <w:rPr>
                <w:sz w:val="17"/>
                <w:szCs w:val="17"/>
                <w:color w:val="auto"/>
              </w:rPr>
            </w:pPr>
          </w:p>
        </w:tc>
        <w:tc>
          <w:tcPr>
            <w:tcW w:w="2780" w:type="dxa"/>
            <w:vAlign w:val="bottom"/>
          </w:tcPr>
          <w:p>
            <w:pPr>
              <w:ind w:left="1020"/>
              <w:spacing w:after="0" w:line="202" w:lineRule="exact"/>
              <w:rPr>
                <w:sz w:val="20"/>
                <w:szCs w:val="20"/>
                <w:color w:val="auto"/>
              </w:rPr>
            </w:pPr>
            <w:r>
              <w:rPr>
                <w:rFonts w:ascii="Arial" w:cs="Arial" w:eastAsia="Arial" w:hAnsi="Arial"/>
                <w:sz w:val="18"/>
                <w:szCs w:val="18"/>
                <w:color w:val="auto"/>
              </w:rPr>
              <w:t>Reliance Steel &amp;</w:t>
            </w:r>
          </w:p>
        </w:tc>
      </w:tr>
      <w:tr>
        <w:trPr>
          <w:trHeight w:val="203"/>
        </w:trPr>
        <w:tc>
          <w:tcPr>
            <w:tcW w:w="3540" w:type="dxa"/>
            <w:vAlign w:val="bottom"/>
          </w:tcPr>
          <w:p>
            <w:pPr>
              <w:spacing w:after="0"/>
              <w:rPr>
                <w:sz w:val="17"/>
                <w:szCs w:val="17"/>
                <w:color w:val="auto"/>
              </w:rPr>
            </w:pPr>
          </w:p>
        </w:tc>
        <w:tc>
          <w:tcPr>
            <w:tcW w:w="3640" w:type="dxa"/>
            <w:vAlign w:val="bottom"/>
          </w:tcPr>
          <w:p>
            <w:pPr>
              <w:ind w:left="1060"/>
              <w:spacing w:after="0" w:line="202" w:lineRule="exact"/>
              <w:rPr>
                <w:sz w:val="20"/>
                <w:szCs w:val="20"/>
                <w:color w:val="auto"/>
              </w:rPr>
            </w:pPr>
            <w:r>
              <w:rPr>
                <w:rFonts w:ascii="Arial" w:cs="Arial" w:eastAsia="Arial" w:hAnsi="Arial"/>
                <w:sz w:val="18"/>
                <w:szCs w:val="18"/>
                <w:color w:val="auto"/>
              </w:rPr>
              <w:t>Fluor Corporation</w:t>
            </w:r>
          </w:p>
        </w:tc>
        <w:tc>
          <w:tcPr>
            <w:tcW w:w="2780" w:type="dxa"/>
            <w:vAlign w:val="bottom"/>
          </w:tcPr>
          <w:p>
            <w:pPr>
              <w:ind w:left="1020"/>
              <w:spacing w:after="0" w:line="202" w:lineRule="exact"/>
              <w:rPr>
                <w:sz w:val="20"/>
                <w:szCs w:val="20"/>
                <w:color w:val="auto"/>
              </w:rPr>
            </w:pPr>
            <w:r>
              <w:rPr>
                <w:rFonts w:ascii="Arial" w:cs="Arial" w:eastAsia="Arial" w:hAnsi="Arial"/>
                <w:sz w:val="18"/>
                <w:szCs w:val="18"/>
                <w:color w:val="auto"/>
              </w:rPr>
              <w:t>Aluminum</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Allegheny Technologies</w:t>
            </w:r>
          </w:p>
        </w:tc>
        <w:tc>
          <w:tcPr>
            <w:tcW w:w="3640" w:type="dxa"/>
            <w:vAlign w:val="bottom"/>
          </w:tcPr>
          <w:p>
            <w:pPr>
              <w:ind w:left="1060"/>
              <w:spacing w:after="0" w:line="202" w:lineRule="exact"/>
              <w:rPr>
                <w:sz w:val="20"/>
                <w:szCs w:val="20"/>
                <w:color w:val="auto"/>
              </w:rPr>
            </w:pPr>
            <w:r>
              <w:rPr>
                <w:rFonts w:ascii="Arial" w:cs="Arial" w:eastAsia="Arial" w:hAnsi="Arial"/>
                <w:sz w:val="18"/>
                <w:szCs w:val="18"/>
                <w:color w:val="auto"/>
              </w:rPr>
              <w:t>Freeport-McMoran</w:t>
            </w:r>
          </w:p>
        </w:tc>
        <w:tc>
          <w:tcPr>
            <w:tcW w:w="2780" w:type="dxa"/>
            <w:vAlign w:val="bottom"/>
          </w:tcPr>
          <w:p>
            <w:pPr>
              <w:ind w:left="1020"/>
              <w:spacing w:after="0" w:line="202" w:lineRule="exact"/>
              <w:rPr>
                <w:sz w:val="20"/>
                <w:szCs w:val="20"/>
                <w:color w:val="auto"/>
              </w:rPr>
            </w:pPr>
            <w:r>
              <w:rPr>
                <w:rFonts w:ascii="Arial" w:cs="Arial" w:eastAsia="Arial" w:hAnsi="Arial"/>
                <w:sz w:val="18"/>
                <w:szCs w:val="18"/>
                <w:color w:val="auto"/>
              </w:rPr>
              <w:t>Steel Dynamics</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Carpenter Technology</w:t>
            </w:r>
          </w:p>
        </w:tc>
        <w:tc>
          <w:tcPr>
            <w:tcW w:w="3640" w:type="dxa"/>
            <w:vAlign w:val="bottom"/>
          </w:tcPr>
          <w:p>
            <w:pPr>
              <w:ind w:left="1060"/>
              <w:spacing w:after="0" w:line="202" w:lineRule="exact"/>
              <w:rPr>
                <w:sz w:val="20"/>
                <w:szCs w:val="20"/>
                <w:color w:val="auto"/>
              </w:rPr>
            </w:pPr>
            <w:r>
              <w:rPr>
                <w:rFonts w:ascii="Arial" w:cs="Arial" w:eastAsia="Arial" w:hAnsi="Arial"/>
                <w:sz w:val="18"/>
                <w:szCs w:val="18"/>
                <w:color w:val="auto"/>
              </w:rPr>
              <w:t>Jacobs Engineering</w:t>
            </w:r>
          </w:p>
        </w:tc>
        <w:tc>
          <w:tcPr>
            <w:tcW w:w="2780" w:type="dxa"/>
            <w:vAlign w:val="bottom"/>
          </w:tcPr>
          <w:p>
            <w:pPr>
              <w:ind w:left="1020"/>
              <w:spacing w:after="0" w:line="202" w:lineRule="exact"/>
              <w:rPr>
                <w:sz w:val="20"/>
                <w:szCs w:val="20"/>
                <w:color w:val="auto"/>
              </w:rPr>
            </w:pPr>
            <w:r>
              <w:rPr>
                <w:rFonts w:ascii="Arial" w:cs="Arial" w:eastAsia="Arial" w:hAnsi="Arial"/>
                <w:sz w:val="18"/>
                <w:szCs w:val="18"/>
                <w:color w:val="auto"/>
              </w:rPr>
              <w:t>U.S. Steel</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Cliffs Natural Resources</w:t>
            </w:r>
          </w:p>
        </w:tc>
        <w:tc>
          <w:tcPr>
            <w:tcW w:w="3640" w:type="dxa"/>
            <w:vAlign w:val="bottom"/>
          </w:tcPr>
          <w:p>
            <w:pPr>
              <w:ind w:left="1060"/>
              <w:spacing w:after="0" w:line="202" w:lineRule="exact"/>
              <w:rPr>
                <w:sz w:val="20"/>
                <w:szCs w:val="20"/>
                <w:color w:val="auto"/>
              </w:rPr>
            </w:pPr>
            <w:r>
              <w:rPr>
                <w:rFonts w:ascii="Arial" w:cs="Arial" w:eastAsia="Arial" w:hAnsi="Arial"/>
                <w:sz w:val="18"/>
                <w:szCs w:val="18"/>
                <w:color w:val="auto"/>
              </w:rPr>
              <w:t>KBR Inc.</w:t>
            </w:r>
          </w:p>
        </w:tc>
        <w:tc>
          <w:tcPr>
            <w:tcW w:w="2780" w:type="dxa"/>
            <w:vAlign w:val="bottom"/>
          </w:tcPr>
          <w:p>
            <w:pPr>
              <w:ind w:left="1020"/>
              <w:spacing w:after="0" w:line="202" w:lineRule="exact"/>
              <w:rPr>
                <w:sz w:val="20"/>
                <w:szCs w:val="20"/>
                <w:color w:val="auto"/>
              </w:rPr>
            </w:pPr>
            <w:r>
              <w:rPr>
                <w:rFonts w:ascii="Arial" w:cs="Arial" w:eastAsia="Arial" w:hAnsi="Arial"/>
                <w:sz w:val="18"/>
                <w:szCs w:val="18"/>
                <w:color w:val="auto"/>
              </w:rPr>
              <w:t>URS Corporation</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Commercial Metals</w:t>
            </w:r>
          </w:p>
        </w:tc>
        <w:tc>
          <w:tcPr>
            <w:tcW w:w="3640" w:type="dxa"/>
            <w:vAlign w:val="bottom"/>
          </w:tcPr>
          <w:p>
            <w:pPr>
              <w:ind w:left="1060"/>
              <w:spacing w:after="0" w:line="202" w:lineRule="exact"/>
              <w:rPr>
                <w:sz w:val="20"/>
                <w:szCs w:val="20"/>
                <w:color w:val="auto"/>
              </w:rPr>
            </w:pPr>
            <w:r>
              <w:rPr>
                <w:rFonts w:ascii="Arial" w:cs="Arial" w:eastAsia="Arial" w:hAnsi="Arial"/>
                <w:sz w:val="18"/>
                <w:szCs w:val="18"/>
                <w:color w:val="auto"/>
              </w:rPr>
              <w:t>Louisiana Pacific</w:t>
            </w:r>
          </w:p>
        </w:tc>
        <w:tc>
          <w:tcPr>
            <w:tcW w:w="2780" w:type="dxa"/>
            <w:vAlign w:val="bottom"/>
          </w:tcPr>
          <w:p>
            <w:pPr>
              <w:ind w:left="1020"/>
              <w:spacing w:after="0" w:line="202" w:lineRule="exact"/>
              <w:rPr>
                <w:sz w:val="20"/>
                <w:szCs w:val="20"/>
                <w:color w:val="auto"/>
              </w:rPr>
            </w:pPr>
            <w:r>
              <w:rPr>
                <w:rFonts w:ascii="Arial" w:cs="Arial" w:eastAsia="Arial" w:hAnsi="Arial"/>
                <w:sz w:val="18"/>
                <w:szCs w:val="18"/>
                <w:color w:val="auto"/>
              </w:rPr>
              <w:t>Vulcan Materials</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Compass Minerals International</w:t>
            </w:r>
          </w:p>
        </w:tc>
        <w:tc>
          <w:tcPr>
            <w:tcW w:w="3640" w:type="dxa"/>
            <w:vAlign w:val="bottom"/>
          </w:tcPr>
          <w:p>
            <w:pPr>
              <w:ind w:left="1060"/>
              <w:spacing w:after="0" w:line="202" w:lineRule="exact"/>
              <w:rPr>
                <w:sz w:val="20"/>
                <w:szCs w:val="20"/>
                <w:color w:val="auto"/>
              </w:rPr>
            </w:pPr>
            <w:r>
              <w:rPr>
                <w:rFonts w:ascii="Arial" w:cs="Arial" w:eastAsia="Arial" w:hAnsi="Arial"/>
                <w:sz w:val="18"/>
                <w:szCs w:val="18"/>
                <w:color w:val="auto"/>
              </w:rPr>
              <w:t>Newmont Mining</w:t>
            </w:r>
          </w:p>
        </w:tc>
        <w:tc>
          <w:tcPr>
            <w:tcW w:w="2780" w:type="dxa"/>
            <w:vAlign w:val="bottom"/>
          </w:tcPr>
          <w:p>
            <w:pPr>
              <w:ind w:left="1020"/>
              <w:spacing w:after="0" w:line="202" w:lineRule="exact"/>
              <w:rPr>
                <w:sz w:val="20"/>
                <w:szCs w:val="20"/>
                <w:color w:val="auto"/>
              </w:rPr>
            </w:pPr>
            <w:r>
              <w:rPr>
                <w:rFonts w:ascii="Arial" w:cs="Arial" w:eastAsia="Arial" w:hAnsi="Arial"/>
                <w:sz w:val="18"/>
                <w:szCs w:val="18"/>
                <w:color w:val="auto"/>
                <w:w w:val="96"/>
              </w:rPr>
              <w:t>Worthington Industries</w:t>
            </w:r>
          </w:p>
        </w:tc>
      </w:tr>
      <w:tr>
        <w:trPr>
          <w:trHeight w:val="211"/>
        </w:trPr>
        <w:tc>
          <w:tcPr>
            <w:tcW w:w="3540" w:type="dxa"/>
            <w:vAlign w:val="bottom"/>
          </w:tcPr>
          <w:p>
            <w:pPr>
              <w:spacing w:after="0"/>
              <w:rPr>
                <w:sz w:val="20"/>
                <w:szCs w:val="20"/>
                <w:color w:val="auto"/>
              </w:rPr>
            </w:pPr>
            <w:r>
              <w:rPr>
                <w:rFonts w:ascii="Arial" w:cs="Arial" w:eastAsia="Arial" w:hAnsi="Arial"/>
                <w:sz w:val="18"/>
                <w:szCs w:val="18"/>
                <w:color w:val="auto"/>
              </w:rPr>
              <w:t>Eagle Materials</w:t>
            </w:r>
          </w:p>
        </w:tc>
        <w:tc>
          <w:tcPr>
            <w:tcW w:w="3640" w:type="dxa"/>
            <w:vAlign w:val="bottom"/>
          </w:tcPr>
          <w:p>
            <w:pPr>
              <w:ind w:left="1060"/>
              <w:spacing w:after="0"/>
              <w:rPr>
                <w:sz w:val="20"/>
                <w:szCs w:val="20"/>
                <w:color w:val="auto"/>
              </w:rPr>
            </w:pPr>
            <w:r>
              <w:rPr>
                <w:rFonts w:ascii="Arial" w:cs="Arial" w:eastAsia="Arial" w:hAnsi="Arial"/>
                <w:sz w:val="18"/>
                <w:szCs w:val="18"/>
                <w:color w:val="auto"/>
              </w:rPr>
              <w:t>Nucor Corporation</w:t>
            </w:r>
          </w:p>
        </w:tc>
        <w:tc>
          <w:tcPr>
            <w:tcW w:w="2780" w:type="dxa"/>
            <w:vAlign w:val="bottom"/>
          </w:tcPr>
          <w:p>
            <w:pPr>
              <w:spacing w:after="0"/>
              <w:rPr>
                <w:sz w:val="18"/>
                <w:szCs w:val="18"/>
                <w:color w:val="auto"/>
              </w:rPr>
            </w:pPr>
          </w:p>
        </w:tc>
      </w:tr>
    </w:tbl>
    <w:p>
      <w:pPr>
        <w:spacing w:after="0" w:line="154" w:lineRule="exact"/>
        <w:rPr>
          <w:sz w:val="20"/>
          <w:szCs w:val="20"/>
          <w:color w:val="auto"/>
        </w:rPr>
      </w:pPr>
    </w:p>
    <w:p>
      <w:pPr>
        <w:ind w:right="120"/>
        <w:spacing w:after="0" w:line="422" w:lineRule="auto"/>
        <w:rPr>
          <w:sz w:val="20"/>
          <w:szCs w:val="20"/>
          <w:color w:val="auto"/>
        </w:rPr>
      </w:pPr>
      <w:r>
        <w:rPr>
          <w:rFonts w:ascii="Arial" w:cs="Arial" w:eastAsia="Arial" w:hAnsi="Arial"/>
          <w:sz w:val="18"/>
          <w:szCs w:val="18"/>
          <w:color w:val="auto"/>
        </w:rPr>
        <w:t xml:space="preserve">The actual financial performance targets and achievement against those targets will be disclosed at the end of the three-year performance period. </w:t>
      </w:r>
      <w:r>
        <w:rPr>
          <w:rFonts w:ascii="Arial" w:cs="Arial" w:eastAsia="Arial" w:hAnsi="Arial"/>
          <w:sz w:val="18"/>
          <w:szCs w:val="18"/>
          <w:b w:val="1"/>
          <w:bCs w:val="1"/>
          <w:color w:val="auto"/>
        </w:rPr>
        <w:t>Shareholder Value Achievement Plan</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This plan was discontinued in 2014 and replaced with the PSU Plan. Prior to 2014, the Shareholder Value Achievement Plan (SVAP) award measured Martin Marietta’s three-year TSR ranking against two peer groups: the S&amp;P 400 Midcap companies and the S&amp;P 1500 Basic Materials Index. Target grant values were 40% of base salary, similar to the new PSU Plan. Target payouts were earned at the 60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TSR ranking. Threshold and maximum payouts were earned at the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respectively.</w:t>
      </w:r>
    </w:p>
    <w:p>
      <w:pPr>
        <w:spacing w:after="0" w:line="7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No payouts were earned since 2010 under this program as a result of the impact of the economic recession on Martin Marietta’s business. In 2014, based on a thorough review of the Company’s compensation objectives, the need for a more focused TSR peer group in line with our business, and the desire to focus more on long-term financial measures, the Committee worked with Aon Hewitt to develop and approve the new PSU Plan.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One-Time Long-Term Transformation Equity Grants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acquisition of TXI was larger than all the other combined 80+ acquisitions completed by Martin Marietta. Our Board of Directors views the transaction as a transformational event in terms of size, scope, the opportunity for profitability, and the platform to generate solid future growth. In the Committee’s view, the safety record, operational excellence, cost management, and profitability that the senior leadership achieved was a critical component of being able to complete the transaction. In addition, the Company’s shareholders supported the TXI transaction with 98% of the votes cast approving it.</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2014, our overall long-term incentive plan structure was reviewed to ensure it supported our transformation strategy. The Committee performed a thorough review of incentive plan alignment and unvested equity. Based on this review, following the TXI transaction, the Committee determined that certain structural changes to the LTI structure were needed to retain critical executives and recruit strong leaders to fill important strategic roles. The design changes included, but are not limited to:</w:t>
      </w:r>
    </w:p>
    <w:p>
      <w:pPr>
        <w:spacing w:after="0" w:line="195"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Introducing a new PSU Plan with cumulative financial metrics, in addition to TSR performance;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Refining the peer group used to measure TSR performance to companies in similar industries; and</w:t>
      </w:r>
    </w:p>
    <w:p>
      <w:pPr>
        <w:spacing w:after="0" w:line="76"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Making a one-time transformation equity grant to retain executives critical to the execution of our long-term strategy following the TXI acquisition.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91" w:right="239" w:bottom="1440" w:gutter="0" w:footer="0" w:header="0"/>
        </w:sectPr>
      </w:pPr>
    </w:p>
    <w:bookmarkStart w:id="45" w:name="page46"/>
    <w:bookmarkEnd w:id="45"/>
    <w:p>
      <w:pPr>
        <w:jc w:val="both"/>
        <w:ind w:right="2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worked with Aon Hewitt to develop a strategic approach to both ongoing compensation program support of a business transformation and a one-time arrangement for critical executives. The Committee reviewed competitive data for similar one-time grants over the last three to four years. Based on that competitive review and the Committee’s assessment of what was appropriate given their internal review of Martin Marietta’s key management talent, a one-time transformation equity grant was made to a limited number of critical executives, including our NEOs, with the objectives to align and retain critical leaders. The grants only vest generally if the executive is employed on the fifth anniversary of the grant date. Unvested shares are forfeited if the executive leaves the Company prior to the fifth anniversary.</w:t>
      </w:r>
    </w:p>
    <w:p>
      <w:pPr>
        <w:spacing w:after="0" w:line="15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The one-time grants were given to the 14 critical leaders of the transformation strategy, consisting of the executive officers, the division presidents and the vice president of operations services. Grant sizes ranged from 1.2x to 3x salary for the grant recipients. The Committee structured these grants with five-year cliff vesting to help ensure that this critical team stays together to deliver the benefits from the TXI transaction to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long-term incentives that each of the named executive officers received in 2014.</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300" w:type="dxa"/>
            <w:vAlign w:val="bottom"/>
            <w:tcBorders>
              <w:left w:val="single" w:sz="8" w:color="47829E"/>
              <w:right w:val="single" w:sz="8" w:color="47829E"/>
            </w:tcBorders>
            <w:shd w:val="clear" w:color="auto" w:fill="47829E"/>
          </w:tcPr>
          <w:p>
            <w:pPr>
              <w:spacing w:after="0"/>
              <w:rPr>
                <w:sz w:val="17"/>
                <w:szCs w:val="17"/>
                <w:color w:val="auto"/>
              </w:rPr>
            </w:pPr>
          </w:p>
        </w:tc>
        <w:tc>
          <w:tcPr>
            <w:tcW w:w="1260" w:type="dxa"/>
            <w:vAlign w:val="bottom"/>
            <w:tcBorders>
              <w:right w:val="single" w:sz="8" w:color="47829E"/>
            </w:tcBorders>
            <w:shd w:val="clear" w:color="auto" w:fill="47829E"/>
          </w:tcPr>
          <w:p>
            <w:pPr>
              <w:spacing w:after="0"/>
              <w:rPr>
                <w:sz w:val="17"/>
                <w:szCs w:val="17"/>
                <w:color w:val="auto"/>
              </w:rPr>
            </w:pPr>
          </w:p>
        </w:tc>
        <w:tc>
          <w:tcPr>
            <w:tcW w:w="1220" w:type="dxa"/>
            <w:vAlign w:val="bottom"/>
            <w:tcBorders>
              <w:right w:val="single" w:sz="8" w:color="47829E"/>
            </w:tcBorders>
            <w:shd w:val="clear" w:color="auto" w:fill="47829E"/>
          </w:tcPr>
          <w:p>
            <w:pPr>
              <w:spacing w:after="0"/>
              <w:rPr>
                <w:sz w:val="17"/>
                <w:szCs w:val="17"/>
                <w:color w:val="auto"/>
              </w:rPr>
            </w:pPr>
          </w:p>
        </w:tc>
        <w:tc>
          <w:tcPr>
            <w:tcW w:w="21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8"/>
                <w:szCs w:val="18"/>
                <w:b w:val="1"/>
                <w:bCs w:val="1"/>
                <w:color w:val="FFFFFF"/>
                <w:w w:val="96"/>
              </w:rPr>
              <w:t>PSUs – Target</w:t>
            </w:r>
          </w:p>
        </w:tc>
        <w:tc>
          <w:tcPr>
            <w:tcW w:w="1560" w:type="dxa"/>
            <w:vAlign w:val="bottom"/>
            <w:tcBorders>
              <w:right w:val="single" w:sz="8" w:color="47829E"/>
            </w:tcBorders>
            <w:shd w:val="clear" w:color="auto" w:fill="47829E"/>
          </w:tcPr>
          <w:p>
            <w:pPr>
              <w:jc w:val="center"/>
              <w:ind w:right="112"/>
              <w:spacing w:after="0"/>
              <w:rPr>
                <w:sz w:val="20"/>
                <w:szCs w:val="20"/>
                <w:color w:val="auto"/>
              </w:rPr>
            </w:pPr>
            <w:r>
              <w:rPr>
                <w:rFonts w:ascii="Arial" w:cs="Arial" w:eastAsia="Arial" w:hAnsi="Arial"/>
                <w:sz w:val="18"/>
                <w:szCs w:val="18"/>
                <w:b w:val="1"/>
                <w:bCs w:val="1"/>
                <w:color w:val="FFFFFF"/>
                <w:w w:val="96"/>
              </w:rPr>
              <w:t>One-Time</w:t>
            </w:r>
          </w:p>
        </w:tc>
      </w:tr>
      <w:tr>
        <w:trPr>
          <w:trHeight w:val="203"/>
        </w:trPr>
        <w:tc>
          <w:tcPr>
            <w:tcW w:w="5300" w:type="dxa"/>
            <w:vAlign w:val="bottom"/>
            <w:tcBorders>
              <w:left w:val="single" w:sz="8" w:color="47829E"/>
              <w:right w:val="single" w:sz="8" w:color="47829E"/>
            </w:tcBorders>
            <w:shd w:val="clear" w:color="auto" w:fill="47829E"/>
          </w:tcPr>
          <w:p>
            <w:pPr>
              <w:spacing w:after="0"/>
              <w:rPr>
                <w:sz w:val="17"/>
                <w:szCs w:val="17"/>
                <w:color w:val="auto"/>
              </w:rPr>
            </w:pPr>
          </w:p>
        </w:tc>
        <w:tc>
          <w:tcPr>
            <w:tcW w:w="1260" w:type="dxa"/>
            <w:vAlign w:val="bottom"/>
            <w:tcBorders>
              <w:right w:val="single" w:sz="8" w:color="47829E"/>
            </w:tcBorders>
            <w:shd w:val="clear" w:color="auto" w:fill="47829E"/>
          </w:tcPr>
          <w:p>
            <w:pPr>
              <w:spacing w:after="0"/>
              <w:rPr>
                <w:sz w:val="17"/>
                <w:szCs w:val="17"/>
                <w:color w:val="auto"/>
              </w:rPr>
            </w:pPr>
          </w:p>
        </w:tc>
        <w:tc>
          <w:tcPr>
            <w:tcW w:w="1220" w:type="dxa"/>
            <w:vAlign w:val="bottom"/>
            <w:tcBorders>
              <w:right w:val="single" w:sz="8" w:color="47829E"/>
            </w:tcBorders>
            <w:shd w:val="clear" w:color="auto" w:fill="47829E"/>
          </w:tcPr>
          <w:p>
            <w:pPr>
              <w:spacing w:after="0"/>
              <w:rPr>
                <w:sz w:val="17"/>
                <w:szCs w:val="17"/>
                <w:color w:val="auto"/>
              </w:rPr>
            </w:pPr>
          </w:p>
        </w:tc>
        <w:tc>
          <w:tcPr>
            <w:tcW w:w="2100" w:type="dxa"/>
            <w:vAlign w:val="bottom"/>
            <w:tcBorders>
              <w:right w:val="single" w:sz="8" w:color="47829E"/>
            </w:tcBorders>
            <w:shd w:val="clear" w:color="auto" w:fill="47829E"/>
          </w:tcPr>
          <w:p>
            <w:pPr>
              <w:jc w:val="center"/>
              <w:spacing w:after="0" w:line="202" w:lineRule="exact"/>
              <w:rPr>
                <w:sz w:val="20"/>
                <w:szCs w:val="20"/>
                <w:color w:val="auto"/>
              </w:rPr>
            </w:pPr>
            <w:r>
              <w:rPr>
                <w:rFonts w:ascii="Arial" w:cs="Arial" w:eastAsia="Arial" w:hAnsi="Arial"/>
                <w:sz w:val="18"/>
                <w:szCs w:val="18"/>
                <w:b w:val="1"/>
                <w:bCs w:val="1"/>
                <w:color w:val="FFFFFF"/>
                <w:w w:val="96"/>
              </w:rPr>
              <w:t>(3 year cliff vesting</w:t>
            </w:r>
          </w:p>
        </w:tc>
        <w:tc>
          <w:tcPr>
            <w:tcW w:w="1560" w:type="dxa"/>
            <w:vAlign w:val="bottom"/>
            <w:tcBorders>
              <w:right w:val="single" w:sz="8" w:color="47829E"/>
            </w:tcBorders>
            <w:shd w:val="clear" w:color="auto" w:fill="47829E"/>
          </w:tcPr>
          <w:p>
            <w:pPr>
              <w:jc w:val="center"/>
              <w:ind w:right="112"/>
              <w:spacing w:after="0" w:line="202" w:lineRule="exact"/>
              <w:rPr>
                <w:sz w:val="20"/>
                <w:szCs w:val="20"/>
                <w:color w:val="auto"/>
              </w:rPr>
            </w:pPr>
            <w:r>
              <w:rPr>
                <w:rFonts w:ascii="Arial" w:cs="Arial" w:eastAsia="Arial" w:hAnsi="Arial"/>
                <w:sz w:val="18"/>
                <w:szCs w:val="18"/>
                <w:b w:val="1"/>
                <w:bCs w:val="1"/>
                <w:color w:val="FFFFFF"/>
                <w:w w:val="96"/>
              </w:rPr>
              <w:t>Transformation</w:t>
            </w:r>
          </w:p>
        </w:tc>
      </w:tr>
      <w:tr>
        <w:trPr>
          <w:trHeight w:val="203"/>
        </w:trPr>
        <w:tc>
          <w:tcPr>
            <w:tcW w:w="5300" w:type="dxa"/>
            <w:vAlign w:val="bottom"/>
            <w:tcBorders>
              <w:left w:val="single" w:sz="8" w:color="47829E"/>
              <w:right w:val="single" w:sz="8" w:color="47829E"/>
            </w:tcBorders>
            <w:shd w:val="clear" w:color="auto" w:fill="47829E"/>
          </w:tcPr>
          <w:p>
            <w:pPr>
              <w:spacing w:after="0"/>
              <w:rPr>
                <w:sz w:val="17"/>
                <w:szCs w:val="17"/>
                <w:color w:val="auto"/>
              </w:rPr>
            </w:pPr>
          </w:p>
        </w:tc>
        <w:tc>
          <w:tcPr>
            <w:tcW w:w="1260" w:type="dxa"/>
            <w:vAlign w:val="bottom"/>
            <w:tcBorders>
              <w:right w:val="single" w:sz="8" w:color="47829E"/>
            </w:tcBorders>
            <w:shd w:val="clear" w:color="auto" w:fill="47829E"/>
          </w:tcPr>
          <w:p>
            <w:pPr>
              <w:jc w:val="center"/>
              <w:spacing w:after="0" w:line="202" w:lineRule="exact"/>
              <w:rPr>
                <w:sz w:val="20"/>
                <w:szCs w:val="20"/>
                <w:color w:val="auto"/>
              </w:rPr>
            </w:pPr>
            <w:r>
              <w:rPr>
                <w:rFonts w:ascii="Arial" w:cs="Arial" w:eastAsia="Arial" w:hAnsi="Arial"/>
                <w:sz w:val="18"/>
                <w:szCs w:val="18"/>
                <w:b w:val="1"/>
                <w:bCs w:val="1"/>
                <w:color w:val="FFFFFF"/>
                <w:w w:val="94"/>
              </w:rPr>
              <w:t>LTIP Options</w:t>
            </w:r>
          </w:p>
        </w:tc>
        <w:tc>
          <w:tcPr>
            <w:tcW w:w="1220" w:type="dxa"/>
            <w:vAlign w:val="bottom"/>
            <w:tcBorders>
              <w:right w:val="single" w:sz="8" w:color="47829E"/>
            </w:tcBorders>
            <w:shd w:val="clear" w:color="auto" w:fill="47829E"/>
          </w:tcPr>
          <w:p>
            <w:pPr>
              <w:jc w:val="center"/>
              <w:ind w:right="12"/>
              <w:spacing w:after="0" w:line="202" w:lineRule="exact"/>
              <w:rPr>
                <w:sz w:val="20"/>
                <w:szCs w:val="20"/>
                <w:color w:val="auto"/>
              </w:rPr>
            </w:pPr>
            <w:r>
              <w:rPr>
                <w:rFonts w:ascii="Arial" w:cs="Arial" w:eastAsia="Arial" w:hAnsi="Arial"/>
                <w:sz w:val="18"/>
                <w:szCs w:val="18"/>
                <w:b w:val="1"/>
                <w:bCs w:val="1"/>
                <w:color w:val="FFFFFF"/>
                <w:w w:val="95"/>
              </w:rPr>
              <w:t>LTIP RSUs</w:t>
            </w:r>
          </w:p>
        </w:tc>
        <w:tc>
          <w:tcPr>
            <w:tcW w:w="2100" w:type="dxa"/>
            <w:vAlign w:val="bottom"/>
            <w:tcBorders>
              <w:right w:val="single" w:sz="8" w:color="47829E"/>
            </w:tcBorders>
            <w:shd w:val="clear" w:color="auto" w:fill="47829E"/>
          </w:tcPr>
          <w:p>
            <w:pPr>
              <w:jc w:val="right"/>
              <w:ind w:right="32"/>
              <w:spacing w:after="0" w:line="202" w:lineRule="exact"/>
              <w:rPr>
                <w:sz w:val="20"/>
                <w:szCs w:val="20"/>
                <w:color w:val="auto"/>
              </w:rPr>
            </w:pPr>
            <w:r>
              <w:rPr>
                <w:rFonts w:ascii="Arial" w:cs="Arial" w:eastAsia="Arial" w:hAnsi="Arial"/>
                <w:sz w:val="18"/>
                <w:szCs w:val="18"/>
                <w:b w:val="1"/>
                <w:bCs w:val="1"/>
                <w:color w:val="FFFFFF"/>
                <w:w w:val="98"/>
              </w:rPr>
              <w:t>subject to achievement</w:t>
            </w:r>
          </w:p>
        </w:tc>
        <w:tc>
          <w:tcPr>
            <w:tcW w:w="1560" w:type="dxa"/>
            <w:vAlign w:val="bottom"/>
            <w:tcBorders>
              <w:right w:val="single" w:sz="8" w:color="47829E"/>
            </w:tcBorders>
            <w:shd w:val="clear" w:color="auto" w:fill="47829E"/>
          </w:tcPr>
          <w:p>
            <w:pPr>
              <w:jc w:val="center"/>
              <w:ind w:right="112"/>
              <w:spacing w:after="0" w:line="202" w:lineRule="exact"/>
              <w:rPr>
                <w:sz w:val="20"/>
                <w:szCs w:val="20"/>
                <w:color w:val="auto"/>
              </w:rPr>
            </w:pPr>
            <w:r>
              <w:rPr>
                <w:rFonts w:ascii="Arial" w:cs="Arial" w:eastAsia="Arial" w:hAnsi="Arial"/>
                <w:sz w:val="18"/>
                <w:szCs w:val="18"/>
                <w:b w:val="1"/>
                <w:bCs w:val="1"/>
                <w:color w:val="FFFFFF"/>
                <w:w w:val="96"/>
              </w:rPr>
              <w:t>Equity Grant</w:t>
            </w:r>
          </w:p>
        </w:tc>
      </w:tr>
      <w:tr>
        <w:trPr>
          <w:trHeight w:val="203"/>
        </w:trPr>
        <w:tc>
          <w:tcPr>
            <w:tcW w:w="5300" w:type="dxa"/>
            <w:vAlign w:val="bottom"/>
            <w:tcBorders>
              <w:left w:val="single" w:sz="8" w:color="47829E"/>
              <w:right w:val="single" w:sz="8" w:color="47829E"/>
            </w:tcBorders>
            <w:shd w:val="clear" w:color="auto" w:fill="47829E"/>
          </w:tcPr>
          <w:p>
            <w:pPr>
              <w:spacing w:after="0"/>
              <w:rPr>
                <w:sz w:val="17"/>
                <w:szCs w:val="17"/>
                <w:color w:val="auto"/>
              </w:rPr>
            </w:pPr>
          </w:p>
        </w:tc>
        <w:tc>
          <w:tcPr>
            <w:tcW w:w="1260" w:type="dxa"/>
            <w:vAlign w:val="bottom"/>
            <w:tcBorders>
              <w:right w:val="single" w:sz="8" w:color="47829E"/>
            </w:tcBorders>
            <w:shd w:val="clear" w:color="auto" w:fill="47829E"/>
          </w:tcPr>
          <w:p>
            <w:pPr>
              <w:jc w:val="center"/>
              <w:spacing w:after="0" w:line="202" w:lineRule="exact"/>
              <w:rPr>
                <w:sz w:val="20"/>
                <w:szCs w:val="20"/>
                <w:color w:val="auto"/>
              </w:rPr>
            </w:pPr>
            <w:r>
              <w:rPr>
                <w:rFonts w:ascii="Arial" w:cs="Arial" w:eastAsia="Arial" w:hAnsi="Arial"/>
                <w:sz w:val="18"/>
                <w:szCs w:val="18"/>
                <w:b w:val="1"/>
                <w:bCs w:val="1"/>
                <w:color w:val="FFFFFF"/>
                <w:w w:val="97"/>
              </w:rPr>
              <w:t>(4 year pro</w:t>
            </w:r>
          </w:p>
        </w:tc>
        <w:tc>
          <w:tcPr>
            <w:tcW w:w="1220" w:type="dxa"/>
            <w:vAlign w:val="bottom"/>
            <w:tcBorders>
              <w:right w:val="single" w:sz="8" w:color="47829E"/>
            </w:tcBorders>
            <w:shd w:val="clear" w:color="auto" w:fill="47829E"/>
          </w:tcPr>
          <w:p>
            <w:pPr>
              <w:jc w:val="center"/>
              <w:ind w:right="12"/>
              <w:spacing w:after="0" w:line="202" w:lineRule="exact"/>
              <w:rPr>
                <w:sz w:val="20"/>
                <w:szCs w:val="20"/>
                <w:color w:val="auto"/>
              </w:rPr>
            </w:pPr>
            <w:r>
              <w:rPr>
                <w:rFonts w:ascii="Arial" w:cs="Arial" w:eastAsia="Arial" w:hAnsi="Arial"/>
                <w:sz w:val="18"/>
                <w:szCs w:val="18"/>
                <w:b w:val="1"/>
                <w:bCs w:val="1"/>
                <w:color w:val="FFFFFF"/>
                <w:w w:val="96"/>
              </w:rPr>
              <w:t>(3 year</w:t>
            </w:r>
          </w:p>
        </w:tc>
        <w:tc>
          <w:tcPr>
            <w:tcW w:w="2100" w:type="dxa"/>
            <w:vAlign w:val="bottom"/>
            <w:tcBorders>
              <w:right w:val="single" w:sz="8" w:color="47829E"/>
            </w:tcBorders>
            <w:shd w:val="clear" w:color="auto" w:fill="47829E"/>
          </w:tcPr>
          <w:p>
            <w:pPr>
              <w:jc w:val="center"/>
              <w:ind w:right="12"/>
              <w:spacing w:after="0" w:line="202" w:lineRule="exact"/>
              <w:rPr>
                <w:sz w:val="20"/>
                <w:szCs w:val="20"/>
                <w:color w:val="auto"/>
              </w:rPr>
            </w:pPr>
            <w:r>
              <w:rPr>
                <w:rFonts w:ascii="Arial" w:cs="Arial" w:eastAsia="Arial" w:hAnsi="Arial"/>
                <w:sz w:val="18"/>
                <w:szCs w:val="18"/>
                <w:b w:val="1"/>
                <w:bCs w:val="1"/>
                <w:color w:val="FFFFFF"/>
                <w:w w:val="97"/>
              </w:rPr>
              <w:t>of performance</w:t>
            </w:r>
          </w:p>
        </w:tc>
        <w:tc>
          <w:tcPr>
            <w:tcW w:w="1560" w:type="dxa"/>
            <w:vAlign w:val="bottom"/>
            <w:tcBorders>
              <w:right w:val="single" w:sz="8" w:color="47829E"/>
            </w:tcBorders>
            <w:shd w:val="clear" w:color="auto" w:fill="47829E"/>
          </w:tcPr>
          <w:p>
            <w:pPr>
              <w:jc w:val="center"/>
              <w:ind w:right="112"/>
              <w:spacing w:after="0" w:line="202" w:lineRule="exact"/>
              <w:rPr>
                <w:sz w:val="20"/>
                <w:szCs w:val="20"/>
                <w:color w:val="auto"/>
              </w:rPr>
            </w:pPr>
            <w:r>
              <w:rPr>
                <w:rFonts w:ascii="Arial" w:cs="Arial" w:eastAsia="Arial" w:hAnsi="Arial"/>
                <w:sz w:val="18"/>
                <w:szCs w:val="18"/>
                <w:b w:val="1"/>
                <w:bCs w:val="1"/>
                <w:color w:val="FFFFFF"/>
                <w:w w:val="96"/>
              </w:rPr>
              <w:t>(5 year cliff</w:t>
            </w:r>
          </w:p>
        </w:tc>
      </w:tr>
      <w:tr>
        <w:trPr>
          <w:trHeight w:val="203"/>
        </w:trPr>
        <w:tc>
          <w:tcPr>
            <w:tcW w:w="5300" w:type="dxa"/>
            <w:vAlign w:val="bottom"/>
            <w:tcBorders>
              <w:left w:val="single" w:sz="8" w:color="47829E"/>
              <w:right w:val="single" w:sz="8" w:color="47829E"/>
            </w:tcBorders>
            <w:shd w:val="clear" w:color="auto" w:fill="47829E"/>
          </w:tcPr>
          <w:p>
            <w:pPr>
              <w:spacing w:after="0"/>
              <w:rPr>
                <w:sz w:val="17"/>
                <w:szCs w:val="17"/>
                <w:color w:val="auto"/>
              </w:rPr>
            </w:pPr>
          </w:p>
        </w:tc>
        <w:tc>
          <w:tcPr>
            <w:tcW w:w="1260" w:type="dxa"/>
            <w:vAlign w:val="bottom"/>
            <w:tcBorders>
              <w:right w:val="single" w:sz="8" w:color="47829E"/>
            </w:tcBorders>
            <w:shd w:val="clear" w:color="auto" w:fill="47829E"/>
          </w:tcPr>
          <w:p>
            <w:pPr>
              <w:jc w:val="center"/>
              <w:spacing w:after="0" w:line="202" w:lineRule="exact"/>
              <w:rPr>
                <w:sz w:val="20"/>
                <w:szCs w:val="20"/>
                <w:color w:val="auto"/>
              </w:rPr>
            </w:pPr>
            <w:r>
              <w:rPr>
                <w:rFonts w:ascii="Arial" w:cs="Arial" w:eastAsia="Arial" w:hAnsi="Arial"/>
                <w:sz w:val="18"/>
                <w:szCs w:val="18"/>
                <w:b w:val="1"/>
                <w:bCs w:val="1"/>
                <w:color w:val="FFFFFF"/>
              </w:rPr>
              <w:t>rata vesting)</w:t>
            </w:r>
          </w:p>
        </w:tc>
        <w:tc>
          <w:tcPr>
            <w:tcW w:w="1220" w:type="dxa"/>
            <w:vAlign w:val="bottom"/>
            <w:tcBorders>
              <w:right w:val="single" w:sz="8" w:color="47829E"/>
            </w:tcBorders>
            <w:shd w:val="clear" w:color="auto" w:fill="47829E"/>
          </w:tcPr>
          <w:p>
            <w:pPr>
              <w:jc w:val="center"/>
              <w:ind w:right="12"/>
              <w:spacing w:after="0" w:line="202" w:lineRule="exact"/>
              <w:rPr>
                <w:sz w:val="20"/>
                <w:szCs w:val="20"/>
                <w:color w:val="auto"/>
              </w:rPr>
            </w:pPr>
            <w:r>
              <w:rPr>
                <w:rFonts w:ascii="Arial" w:cs="Arial" w:eastAsia="Arial" w:hAnsi="Arial"/>
                <w:sz w:val="18"/>
                <w:szCs w:val="18"/>
                <w:b w:val="1"/>
                <w:bCs w:val="1"/>
                <w:color w:val="FFFFFF"/>
                <w:w w:val="98"/>
              </w:rPr>
              <w:t>cliff vesting)</w:t>
            </w:r>
          </w:p>
        </w:tc>
        <w:tc>
          <w:tcPr>
            <w:tcW w:w="2100" w:type="dxa"/>
            <w:vAlign w:val="bottom"/>
            <w:tcBorders>
              <w:right w:val="single" w:sz="8" w:color="47829E"/>
            </w:tcBorders>
            <w:shd w:val="clear" w:color="auto" w:fill="47829E"/>
          </w:tcPr>
          <w:p>
            <w:pPr>
              <w:jc w:val="center"/>
              <w:ind w:right="12"/>
              <w:spacing w:after="0" w:line="202" w:lineRule="exact"/>
              <w:rPr>
                <w:sz w:val="20"/>
                <w:szCs w:val="20"/>
                <w:color w:val="auto"/>
              </w:rPr>
            </w:pPr>
            <w:r>
              <w:rPr>
                <w:rFonts w:ascii="Arial" w:cs="Arial" w:eastAsia="Arial" w:hAnsi="Arial"/>
                <w:sz w:val="18"/>
                <w:szCs w:val="18"/>
                <w:b w:val="1"/>
                <w:bCs w:val="1"/>
                <w:color w:val="FFFFFF"/>
                <w:w w:val="97"/>
              </w:rPr>
              <w:t>measures)</w:t>
            </w:r>
          </w:p>
        </w:tc>
        <w:tc>
          <w:tcPr>
            <w:tcW w:w="1560" w:type="dxa"/>
            <w:vAlign w:val="bottom"/>
            <w:tcBorders>
              <w:right w:val="single" w:sz="8" w:color="47829E"/>
            </w:tcBorders>
            <w:shd w:val="clear" w:color="auto" w:fill="47829E"/>
          </w:tcPr>
          <w:p>
            <w:pPr>
              <w:jc w:val="center"/>
              <w:ind w:right="112"/>
              <w:spacing w:after="0" w:line="202" w:lineRule="exact"/>
              <w:rPr>
                <w:sz w:val="20"/>
                <w:szCs w:val="20"/>
                <w:color w:val="auto"/>
              </w:rPr>
            </w:pPr>
            <w:r>
              <w:rPr>
                <w:rFonts w:ascii="Arial" w:cs="Arial" w:eastAsia="Arial" w:hAnsi="Arial"/>
                <w:sz w:val="18"/>
                <w:szCs w:val="18"/>
                <w:b w:val="1"/>
                <w:bCs w:val="1"/>
                <w:color w:val="FFFFFF"/>
                <w:w w:val="98"/>
              </w:rPr>
              <w:t>vesting)</w:t>
            </w:r>
          </w:p>
        </w:tc>
      </w:tr>
      <w:tr>
        <w:trPr>
          <w:trHeight w:val="235"/>
        </w:trPr>
        <w:tc>
          <w:tcPr>
            <w:tcW w:w="5300" w:type="dxa"/>
            <w:vAlign w:val="bottom"/>
            <w:tcBorders>
              <w:left w:val="single" w:sz="8" w:color="47829E"/>
              <w:right w:val="single" w:sz="8" w:color="47829E"/>
            </w:tcBorders>
            <w:shd w:val="clear" w:color="auto" w:fill="47829E"/>
          </w:tcPr>
          <w:p>
            <w:pPr>
              <w:ind w:left="120"/>
              <w:spacing w:after="0"/>
              <w:rPr>
                <w:sz w:val="20"/>
                <w:szCs w:val="20"/>
                <w:color w:val="auto"/>
              </w:rPr>
            </w:pPr>
            <w:r>
              <w:rPr>
                <w:rFonts w:ascii="Arial" w:cs="Arial" w:eastAsia="Arial" w:hAnsi="Arial"/>
                <w:sz w:val="18"/>
                <w:szCs w:val="18"/>
                <w:b w:val="1"/>
                <w:bCs w:val="1"/>
                <w:color w:val="FFFFFF"/>
              </w:rPr>
              <w:t>NEO</w:t>
            </w:r>
          </w:p>
        </w:tc>
        <w:tc>
          <w:tcPr>
            <w:tcW w:w="12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8"/>
                <w:szCs w:val="18"/>
                <w:b w:val="1"/>
                <w:bCs w:val="1"/>
                <w:color w:val="FFFFFF"/>
                <w:w w:val="98"/>
              </w:rPr>
              <w:t>(# of shares)</w:t>
            </w:r>
          </w:p>
        </w:tc>
        <w:tc>
          <w:tcPr>
            <w:tcW w:w="1220" w:type="dxa"/>
            <w:vAlign w:val="bottom"/>
            <w:tcBorders>
              <w:right w:val="single" w:sz="8" w:color="47829E"/>
            </w:tcBorders>
            <w:shd w:val="clear" w:color="auto" w:fill="47829E"/>
          </w:tcPr>
          <w:p>
            <w:pPr>
              <w:jc w:val="center"/>
              <w:ind w:right="12"/>
              <w:spacing w:after="0"/>
              <w:rPr>
                <w:sz w:val="20"/>
                <w:szCs w:val="20"/>
                <w:color w:val="auto"/>
              </w:rPr>
            </w:pPr>
            <w:r>
              <w:rPr>
                <w:rFonts w:ascii="Arial" w:cs="Arial" w:eastAsia="Arial" w:hAnsi="Arial"/>
                <w:sz w:val="18"/>
                <w:szCs w:val="18"/>
                <w:b w:val="1"/>
                <w:bCs w:val="1"/>
                <w:color w:val="FFFFFF"/>
                <w:w w:val="97"/>
              </w:rPr>
              <w:t>(# of shares)</w:t>
            </w:r>
          </w:p>
        </w:tc>
        <w:tc>
          <w:tcPr>
            <w:tcW w:w="2100" w:type="dxa"/>
            <w:vAlign w:val="bottom"/>
            <w:tcBorders>
              <w:right w:val="single" w:sz="8" w:color="47829E"/>
            </w:tcBorders>
            <w:shd w:val="clear" w:color="auto" w:fill="47829E"/>
          </w:tcPr>
          <w:p>
            <w:pPr>
              <w:jc w:val="center"/>
              <w:ind w:right="12"/>
              <w:spacing w:after="0"/>
              <w:rPr>
                <w:sz w:val="20"/>
                <w:szCs w:val="20"/>
                <w:color w:val="auto"/>
              </w:rPr>
            </w:pPr>
            <w:r>
              <w:rPr>
                <w:rFonts w:ascii="Arial" w:cs="Arial" w:eastAsia="Arial" w:hAnsi="Arial"/>
                <w:sz w:val="18"/>
                <w:szCs w:val="18"/>
                <w:b w:val="1"/>
                <w:bCs w:val="1"/>
                <w:color w:val="FFFFFF"/>
                <w:w w:val="97"/>
              </w:rPr>
              <w:t>(# of shares)</w:t>
            </w:r>
          </w:p>
        </w:tc>
        <w:tc>
          <w:tcPr>
            <w:tcW w:w="1560" w:type="dxa"/>
            <w:vAlign w:val="bottom"/>
            <w:tcBorders>
              <w:right w:val="single" w:sz="8" w:color="47829E"/>
            </w:tcBorders>
            <w:shd w:val="clear" w:color="auto" w:fill="47829E"/>
          </w:tcPr>
          <w:p>
            <w:pPr>
              <w:jc w:val="center"/>
              <w:ind w:right="112"/>
              <w:spacing w:after="0"/>
              <w:rPr>
                <w:sz w:val="20"/>
                <w:szCs w:val="20"/>
                <w:color w:val="auto"/>
              </w:rPr>
            </w:pPr>
            <w:r>
              <w:rPr>
                <w:rFonts w:ascii="Arial" w:cs="Arial" w:eastAsia="Arial" w:hAnsi="Arial"/>
                <w:sz w:val="18"/>
                <w:szCs w:val="18"/>
                <w:b w:val="1"/>
                <w:bCs w:val="1"/>
                <w:color w:val="FFFFFF"/>
                <w:w w:val="97"/>
              </w:rPr>
              <w:t>(# of shares)</w:t>
            </w:r>
          </w:p>
        </w:tc>
      </w:tr>
      <w:tr>
        <w:trPr>
          <w:trHeight w:val="203"/>
        </w:trPr>
        <w:tc>
          <w:tcPr>
            <w:tcW w:w="530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C. Howard Nye</w:t>
            </w:r>
          </w:p>
        </w:tc>
        <w:tc>
          <w:tcPr>
            <w:tcW w:w="1260" w:type="dxa"/>
            <w:vAlign w:val="bottom"/>
            <w:tcBorders>
              <w:right w:val="single" w:sz="8" w:color="47829E"/>
            </w:tcBorders>
          </w:tcPr>
          <w:p>
            <w:pPr>
              <w:jc w:val="right"/>
              <w:ind w:right="32"/>
              <w:spacing w:after="0" w:line="202" w:lineRule="exact"/>
              <w:rPr>
                <w:sz w:val="20"/>
                <w:szCs w:val="20"/>
                <w:color w:val="auto"/>
              </w:rPr>
            </w:pPr>
            <w:r>
              <w:rPr>
                <w:rFonts w:ascii="Arial" w:cs="Arial" w:eastAsia="Arial" w:hAnsi="Arial"/>
                <w:sz w:val="18"/>
                <w:szCs w:val="18"/>
                <w:color w:val="auto"/>
              </w:rPr>
              <w:t>13,584</w:t>
            </w:r>
          </w:p>
        </w:tc>
        <w:tc>
          <w:tcPr>
            <w:tcW w:w="1220" w:type="dxa"/>
            <w:vAlign w:val="bottom"/>
            <w:tcBorders>
              <w:right w:val="single" w:sz="8" w:color="47829E"/>
            </w:tcBorders>
          </w:tcPr>
          <w:p>
            <w:pPr>
              <w:jc w:val="right"/>
              <w:ind w:right="32"/>
              <w:spacing w:after="0" w:line="202" w:lineRule="exact"/>
              <w:rPr>
                <w:sz w:val="20"/>
                <w:szCs w:val="20"/>
                <w:color w:val="auto"/>
              </w:rPr>
            </w:pPr>
            <w:r>
              <w:rPr>
                <w:rFonts w:ascii="Arial" w:cs="Arial" w:eastAsia="Arial" w:hAnsi="Arial"/>
                <w:sz w:val="18"/>
                <w:szCs w:val="18"/>
                <w:color w:val="auto"/>
              </w:rPr>
              <w:t>6,792</w:t>
            </w:r>
          </w:p>
        </w:tc>
        <w:tc>
          <w:tcPr>
            <w:tcW w:w="2100" w:type="dxa"/>
            <w:vAlign w:val="bottom"/>
            <w:tcBorders>
              <w:right w:val="single" w:sz="8" w:color="47829E"/>
            </w:tcBorders>
          </w:tcPr>
          <w:p>
            <w:pPr>
              <w:jc w:val="right"/>
              <w:ind w:right="32"/>
              <w:spacing w:after="0" w:line="202" w:lineRule="exact"/>
              <w:rPr>
                <w:sz w:val="20"/>
                <w:szCs w:val="20"/>
                <w:color w:val="auto"/>
              </w:rPr>
            </w:pPr>
            <w:r>
              <w:rPr>
                <w:rFonts w:ascii="Arial" w:cs="Arial" w:eastAsia="Arial" w:hAnsi="Arial"/>
                <w:sz w:val="18"/>
                <w:szCs w:val="18"/>
                <w:color w:val="auto"/>
              </w:rPr>
              <w:t>2,799</w:t>
            </w:r>
          </w:p>
        </w:tc>
        <w:tc>
          <w:tcPr>
            <w:tcW w:w="1560" w:type="dxa"/>
            <w:vAlign w:val="bottom"/>
            <w:tcBorders>
              <w:right w:val="single" w:sz="8" w:color="47829E"/>
            </w:tcBorders>
          </w:tcPr>
          <w:p>
            <w:pPr>
              <w:jc w:val="right"/>
              <w:ind w:right="152"/>
              <w:spacing w:after="0" w:line="202" w:lineRule="exact"/>
              <w:rPr>
                <w:sz w:val="20"/>
                <w:szCs w:val="20"/>
                <w:color w:val="auto"/>
              </w:rPr>
            </w:pPr>
            <w:r>
              <w:rPr>
                <w:rFonts w:ascii="Arial" w:cs="Arial" w:eastAsia="Arial" w:hAnsi="Arial"/>
                <w:sz w:val="18"/>
                <w:szCs w:val="18"/>
                <w:color w:val="auto"/>
              </w:rPr>
              <w:t>22,070</w:t>
            </w:r>
          </w:p>
        </w:tc>
      </w:tr>
      <w:tr>
        <w:trPr>
          <w:trHeight w:val="203"/>
        </w:trPr>
        <w:tc>
          <w:tcPr>
            <w:tcW w:w="5300" w:type="dxa"/>
            <w:vAlign w:val="bottom"/>
            <w:tcBorders>
              <w:left w:val="single" w:sz="8" w:color="47829E"/>
              <w:righ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Anne H. Lloyd</w:t>
            </w:r>
          </w:p>
        </w:tc>
        <w:tc>
          <w:tcPr>
            <w:tcW w:w="1260" w:type="dxa"/>
            <w:vAlign w:val="bottom"/>
            <w:tcBorders>
              <w:right w:val="single" w:sz="8" w:color="47829E"/>
            </w:tcBorders>
            <w:shd w:val="clear" w:color="auto" w:fill="E3ECF0"/>
          </w:tcPr>
          <w:p>
            <w:pPr>
              <w:jc w:val="right"/>
              <w:ind w:right="32"/>
              <w:spacing w:after="0" w:line="202" w:lineRule="exact"/>
              <w:rPr>
                <w:sz w:val="20"/>
                <w:szCs w:val="20"/>
                <w:color w:val="auto"/>
              </w:rPr>
            </w:pPr>
            <w:r>
              <w:rPr>
                <w:rFonts w:ascii="Arial" w:cs="Arial" w:eastAsia="Arial" w:hAnsi="Arial"/>
                <w:sz w:val="18"/>
                <w:szCs w:val="18"/>
                <w:color w:val="auto"/>
              </w:rPr>
              <w:t>4,604</w:t>
            </w:r>
          </w:p>
        </w:tc>
        <w:tc>
          <w:tcPr>
            <w:tcW w:w="1220" w:type="dxa"/>
            <w:vAlign w:val="bottom"/>
            <w:tcBorders>
              <w:right w:val="single" w:sz="8" w:color="47829E"/>
            </w:tcBorders>
            <w:shd w:val="clear" w:color="auto" w:fill="E3ECF0"/>
          </w:tcPr>
          <w:p>
            <w:pPr>
              <w:jc w:val="right"/>
              <w:ind w:right="32"/>
              <w:spacing w:after="0" w:line="202" w:lineRule="exact"/>
              <w:rPr>
                <w:sz w:val="20"/>
                <w:szCs w:val="20"/>
                <w:color w:val="auto"/>
              </w:rPr>
            </w:pPr>
            <w:r>
              <w:rPr>
                <w:rFonts w:ascii="Arial" w:cs="Arial" w:eastAsia="Arial" w:hAnsi="Arial"/>
                <w:sz w:val="18"/>
                <w:szCs w:val="18"/>
                <w:color w:val="auto"/>
              </w:rPr>
              <w:t>2,302</w:t>
            </w:r>
          </w:p>
        </w:tc>
        <w:tc>
          <w:tcPr>
            <w:tcW w:w="2100" w:type="dxa"/>
            <w:vAlign w:val="bottom"/>
            <w:tcBorders>
              <w:right w:val="single" w:sz="8" w:color="47829E"/>
            </w:tcBorders>
            <w:shd w:val="clear" w:color="auto" w:fill="E3ECF0"/>
          </w:tcPr>
          <w:p>
            <w:pPr>
              <w:jc w:val="right"/>
              <w:ind w:right="32"/>
              <w:spacing w:after="0" w:line="202" w:lineRule="exact"/>
              <w:rPr>
                <w:sz w:val="20"/>
                <w:szCs w:val="20"/>
                <w:color w:val="auto"/>
              </w:rPr>
            </w:pPr>
            <w:r>
              <w:rPr>
                <w:rFonts w:ascii="Arial" w:cs="Arial" w:eastAsia="Arial" w:hAnsi="Arial"/>
                <w:sz w:val="18"/>
                <w:szCs w:val="18"/>
                <w:color w:val="auto"/>
              </w:rPr>
              <w:t>1,584</w:t>
            </w:r>
          </w:p>
        </w:tc>
        <w:tc>
          <w:tcPr>
            <w:tcW w:w="1560" w:type="dxa"/>
            <w:vAlign w:val="bottom"/>
            <w:tcBorders>
              <w:right w:val="single" w:sz="8" w:color="47829E"/>
            </w:tcBorders>
            <w:shd w:val="clear" w:color="auto" w:fill="E3ECF0"/>
          </w:tcPr>
          <w:p>
            <w:pPr>
              <w:jc w:val="right"/>
              <w:ind w:right="152"/>
              <w:spacing w:after="0" w:line="202" w:lineRule="exact"/>
              <w:rPr>
                <w:sz w:val="20"/>
                <w:szCs w:val="20"/>
                <w:color w:val="auto"/>
              </w:rPr>
            </w:pPr>
            <w:r>
              <w:rPr>
                <w:rFonts w:ascii="Arial" w:cs="Arial" w:eastAsia="Arial" w:hAnsi="Arial"/>
                <w:sz w:val="18"/>
                <w:szCs w:val="18"/>
                <w:color w:val="auto"/>
              </w:rPr>
              <w:t>11,878</w:t>
            </w:r>
          </w:p>
        </w:tc>
      </w:tr>
      <w:tr>
        <w:trPr>
          <w:trHeight w:val="203"/>
        </w:trPr>
        <w:tc>
          <w:tcPr>
            <w:tcW w:w="530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Roselyn R. Bar</w:t>
            </w:r>
          </w:p>
        </w:tc>
        <w:tc>
          <w:tcPr>
            <w:tcW w:w="1260" w:type="dxa"/>
            <w:vAlign w:val="bottom"/>
            <w:tcBorders>
              <w:right w:val="single" w:sz="8" w:color="47829E"/>
            </w:tcBorders>
          </w:tcPr>
          <w:p>
            <w:pPr>
              <w:jc w:val="right"/>
              <w:ind w:right="32"/>
              <w:spacing w:after="0" w:line="202" w:lineRule="exact"/>
              <w:rPr>
                <w:sz w:val="20"/>
                <w:szCs w:val="20"/>
                <w:color w:val="auto"/>
              </w:rPr>
            </w:pPr>
            <w:r>
              <w:rPr>
                <w:rFonts w:ascii="Arial" w:cs="Arial" w:eastAsia="Arial" w:hAnsi="Arial"/>
                <w:sz w:val="18"/>
                <w:szCs w:val="18"/>
                <w:color w:val="auto"/>
              </w:rPr>
              <w:t>3,757</w:t>
            </w:r>
          </w:p>
        </w:tc>
        <w:tc>
          <w:tcPr>
            <w:tcW w:w="1220" w:type="dxa"/>
            <w:vAlign w:val="bottom"/>
            <w:tcBorders>
              <w:right w:val="single" w:sz="8" w:color="47829E"/>
            </w:tcBorders>
          </w:tcPr>
          <w:p>
            <w:pPr>
              <w:jc w:val="right"/>
              <w:ind w:right="32"/>
              <w:spacing w:after="0" w:line="202" w:lineRule="exact"/>
              <w:rPr>
                <w:sz w:val="20"/>
                <w:szCs w:val="20"/>
                <w:color w:val="auto"/>
              </w:rPr>
            </w:pPr>
            <w:r>
              <w:rPr>
                <w:rFonts w:ascii="Arial" w:cs="Arial" w:eastAsia="Arial" w:hAnsi="Arial"/>
                <w:sz w:val="18"/>
                <w:szCs w:val="18"/>
                <w:color w:val="auto"/>
              </w:rPr>
              <w:t>1,879</w:t>
            </w:r>
          </w:p>
        </w:tc>
        <w:tc>
          <w:tcPr>
            <w:tcW w:w="2100" w:type="dxa"/>
            <w:vAlign w:val="bottom"/>
            <w:tcBorders>
              <w:right w:val="single" w:sz="8" w:color="47829E"/>
            </w:tcBorders>
          </w:tcPr>
          <w:p>
            <w:pPr>
              <w:jc w:val="right"/>
              <w:ind w:right="32"/>
              <w:spacing w:after="0" w:line="202" w:lineRule="exact"/>
              <w:rPr>
                <w:sz w:val="20"/>
                <w:szCs w:val="20"/>
                <w:color w:val="auto"/>
              </w:rPr>
            </w:pPr>
            <w:r>
              <w:rPr>
                <w:rFonts w:ascii="Arial" w:cs="Arial" w:eastAsia="Arial" w:hAnsi="Arial"/>
                <w:sz w:val="18"/>
                <w:szCs w:val="18"/>
                <w:color w:val="auto"/>
              </w:rPr>
              <w:t>1,322</w:t>
            </w:r>
          </w:p>
        </w:tc>
        <w:tc>
          <w:tcPr>
            <w:tcW w:w="1560" w:type="dxa"/>
            <w:vAlign w:val="bottom"/>
            <w:tcBorders>
              <w:right w:val="single" w:sz="8" w:color="47829E"/>
            </w:tcBorders>
          </w:tcPr>
          <w:p>
            <w:pPr>
              <w:jc w:val="right"/>
              <w:ind w:right="152"/>
              <w:spacing w:after="0" w:line="202" w:lineRule="exact"/>
              <w:rPr>
                <w:sz w:val="20"/>
                <w:szCs w:val="20"/>
                <w:color w:val="auto"/>
              </w:rPr>
            </w:pPr>
            <w:r>
              <w:rPr>
                <w:rFonts w:ascii="Arial" w:cs="Arial" w:eastAsia="Arial" w:hAnsi="Arial"/>
                <w:sz w:val="18"/>
                <w:szCs w:val="18"/>
                <w:color w:val="auto"/>
              </w:rPr>
              <w:t>9,913</w:t>
            </w:r>
          </w:p>
        </w:tc>
      </w:tr>
      <w:tr>
        <w:trPr>
          <w:trHeight w:val="203"/>
        </w:trPr>
        <w:tc>
          <w:tcPr>
            <w:tcW w:w="5300" w:type="dxa"/>
            <w:vAlign w:val="bottom"/>
            <w:tcBorders>
              <w:left w:val="single" w:sz="8" w:color="47829E"/>
              <w:righ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Donald A. McCunniff</w:t>
            </w:r>
          </w:p>
        </w:tc>
        <w:tc>
          <w:tcPr>
            <w:tcW w:w="1260" w:type="dxa"/>
            <w:vAlign w:val="bottom"/>
            <w:tcBorders>
              <w:right w:val="single" w:sz="8" w:color="47829E"/>
            </w:tcBorders>
            <w:shd w:val="clear" w:color="auto" w:fill="E3ECF0"/>
          </w:tcPr>
          <w:p>
            <w:pPr>
              <w:jc w:val="right"/>
              <w:ind w:right="32"/>
              <w:spacing w:after="0" w:line="202" w:lineRule="exact"/>
              <w:rPr>
                <w:sz w:val="20"/>
                <w:szCs w:val="20"/>
                <w:color w:val="auto"/>
              </w:rPr>
            </w:pPr>
            <w:r>
              <w:rPr>
                <w:rFonts w:ascii="Arial" w:cs="Arial" w:eastAsia="Arial" w:hAnsi="Arial"/>
                <w:sz w:val="18"/>
                <w:szCs w:val="18"/>
                <w:color w:val="auto"/>
              </w:rPr>
              <w:t>3,027</w:t>
            </w:r>
          </w:p>
        </w:tc>
        <w:tc>
          <w:tcPr>
            <w:tcW w:w="1220" w:type="dxa"/>
            <w:vAlign w:val="bottom"/>
            <w:tcBorders>
              <w:right w:val="single" w:sz="8" w:color="47829E"/>
            </w:tcBorders>
            <w:shd w:val="clear" w:color="auto" w:fill="E3ECF0"/>
          </w:tcPr>
          <w:p>
            <w:pPr>
              <w:jc w:val="right"/>
              <w:ind w:right="32"/>
              <w:spacing w:after="0" w:line="202" w:lineRule="exact"/>
              <w:rPr>
                <w:sz w:val="20"/>
                <w:szCs w:val="20"/>
                <w:color w:val="auto"/>
              </w:rPr>
            </w:pPr>
            <w:r>
              <w:rPr>
                <w:rFonts w:ascii="Arial" w:cs="Arial" w:eastAsia="Arial" w:hAnsi="Arial"/>
                <w:sz w:val="18"/>
                <w:szCs w:val="18"/>
                <w:color w:val="auto"/>
              </w:rPr>
              <w:t>1,514</w:t>
            </w:r>
          </w:p>
        </w:tc>
        <w:tc>
          <w:tcPr>
            <w:tcW w:w="2100" w:type="dxa"/>
            <w:vAlign w:val="bottom"/>
            <w:tcBorders>
              <w:right w:val="single" w:sz="8" w:color="47829E"/>
            </w:tcBorders>
            <w:shd w:val="clear" w:color="auto" w:fill="E3ECF0"/>
          </w:tcPr>
          <w:p>
            <w:pPr>
              <w:jc w:val="right"/>
              <w:ind w:right="32"/>
              <w:spacing w:after="0" w:line="202" w:lineRule="exact"/>
              <w:rPr>
                <w:sz w:val="20"/>
                <w:szCs w:val="20"/>
                <w:color w:val="auto"/>
              </w:rPr>
            </w:pPr>
            <w:r>
              <w:rPr>
                <w:rFonts w:ascii="Arial" w:cs="Arial" w:eastAsia="Arial" w:hAnsi="Arial"/>
                <w:sz w:val="18"/>
                <w:szCs w:val="18"/>
                <w:color w:val="auto"/>
              </w:rPr>
              <w:t>1,084</w:t>
            </w:r>
          </w:p>
        </w:tc>
        <w:tc>
          <w:tcPr>
            <w:tcW w:w="1560" w:type="dxa"/>
            <w:vAlign w:val="bottom"/>
            <w:tcBorders>
              <w:right w:val="single" w:sz="8" w:color="47829E"/>
            </w:tcBorders>
            <w:shd w:val="clear" w:color="auto" w:fill="E3ECF0"/>
          </w:tcPr>
          <w:p>
            <w:pPr>
              <w:jc w:val="right"/>
              <w:ind w:right="152"/>
              <w:spacing w:after="0" w:line="202" w:lineRule="exact"/>
              <w:rPr>
                <w:sz w:val="20"/>
                <w:szCs w:val="20"/>
                <w:color w:val="auto"/>
              </w:rPr>
            </w:pPr>
            <w:r>
              <w:rPr>
                <w:rFonts w:ascii="Arial" w:cs="Arial" w:eastAsia="Arial" w:hAnsi="Arial"/>
                <w:sz w:val="18"/>
                <w:szCs w:val="18"/>
                <w:color w:val="auto"/>
              </w:rPr>
              <w:t>8,127</w:t>
            </w:r>
          </w:p>
        </w:tc>
      </w:tr>
      <w:tr>
        <w:trPr>
          <w:trHeight w:val="203"/>
        </w:trPr>
        <w:tc>
          <w:tcPr>
            <w:tcW w:w="5300" w:type="dxa"/>
            <w:vAlign w:val="bottom"/>
            <w:tcBorders>
              <w:left w:val="single" w:sz="8" w:color="47829E"/>
              <w:bottom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Daniel L. Grant</w:t>
            </w:r>
          </w:p>
        </w:tc>
        <w:tc>
          <w:tcPr>
            <w:tcW w:w="1260" w:type="dxa"/>
            <w:vAlign w:val="bottom"/>
            <w:tcBorders>
              <w:bottom w:val="single" w:sz="8" w:color="47829E"/>
              <w:right w:val="single" w:sz="8" w:color="47829E"/>
            </w:tcBorders>
          </w:tcPr>
          <w:p>
            <w:pPr>
              <w:jc w:val="right"/>
              <w:ind w:right="32"/>
              <w:spacing w:after="0" w:line="202" w:lineRule="exact"/>
              <w:rPr>
                <w:sz w:val="20"/>
                <w:szCs w:val="20"/>
                <w:color w:val="auto"/>
              </w:rPr>
            </w:pPr>
            <w:r>
              <w:rPr>
                <w:rFonts w:ascii="Arial" w:cs="Arial" w:eastAsia="Arial" w:hAnsi="Arial"/>
                <w:sz w:val="18"/>
                <w:szCs w:val="18"/>
                <w:color w:val="auto"/>
              </w:rPr>
              <w:t>1,632</w:t>
            </w:r>
          </w:p>
        </w:tc>
        <w:tc>
          <w:tcPr>
            <w:tcW w:w="1220" w:type="dxa"/>
            <w:vAlign w:val="bottom"/>
            <w:tcBorders>
              <w:bottom w:val="single" w:sz="8" w:color="47829E"/>
              <w:right w:val="single" w:sz="8" w:color="47829E"/>
            </w:tcBorders>
          </w:tcPr>
          <w:p>
            <w:pPr>
              <w:jc w:val="right"/>
              <w:ind w:right="32"/>
              <w:spacing w:after="0" w:line="202" w:lineRule="exact"/>
              <w:rPr>
                <w:sz w:val="20"/>
                <w:szCs w:val="20"/>
                <w:color w:val="auto"/>
              </w:rPr>
            </w:pPr>
            <w:r>
              <w:rPr>
                <w:rFonts w:ascii="Arial" w:cs="Arial" w:eastAsia="Arial" w:hAnsi="Arial"/>
                <w:sz w:val="18"/>
                <w:szCs w:val="18"/>
                <w:color w:val="auto"/>
              </w:rPr>
              <w:t>816</w:t>
            </w:r>
          </w:p>
        </w:tc>
        <w:tc>
          <w:tcPr>
            <w:tcW w:w="2100" w:type="dxa"/>
            <w:vAlign w:val="bottom"/>
            <w:tcBorders>
              <w:bottom w:val="single" w:sz="8" w:color="47829E"/>
              <w:right w:val="single" w:sz="8" w:color="47829E"/>
            </w:tcBorders>
          </w:tcPr>
          <w:p>
            <w:pPr>
              <w:jc w:val="right"/>
              <w:ind w:right="32"/>
              <w:spacing w:after="0" w:line="202" w:lineRule="exact"/>
              <w:rPr>
                <w:sz w:val="20"/>
                <w:szCs w:val="20"/>
                <w:color w:val="auto"/>
              </w:rPr>
            </w:pPr>
            <w:r>
              <w:rPr>
                <w:rFonts w:ascii="Arial" w:cs="Arial" w:eastAsia="Arial" w:hAnsi="Arial"/>
                <w:sz w:val="18"/>
                <w:szCs w:val="18"/>
                <w:color w:val="auto"/>
              </w:rPr>
              <w:t>1,029</w:t>
            </w:r>
          </w:p>
        </w:tc>
        <w:tc>
          <w:tcPr>
            <w:tcW w:w="1560" w:type="dxa"/>
            <w:vAlign w:val="bottom"/>
            <w:tcBorders>
              <w:bottom w:val="single" w:sz="8" w:color="47829E"/>
              <w:right w:val="single" w:sz="8" w:color="47829E"/>
            </w:tcBorders>
          </w:tcPr>
          <w:p>
            <w:pPr>
              <w:jc w:val="right"/>
              <w:ind w:right="152"/>
              <w:spacing w:after="0" w:line="202" w:lineRule="exact"/>
              <w:rPr>
                <w:sz w:val="20"/>
                <w:szCs w:val="20"/>
                <w:color w:val="auto"/>
              </w:rPr>
            </w:pPr>
            <w:r>
              <w:rPr>
                <w:rFonts w:ascii="Arial" w:cs="Arial" w:eastAsia="Arial" w:hAnsi="Arial"/>
                <w:sz w:val="18"/>
                <w:szCs w:val="18"/>
                <w:color w:val="auto"/>
              </w:rPr>
              <w:t>7,643</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Stock-Based Awards Generally</w:t>
      </w:r>
    </w:p>
    <w:p>
      <w:pPr>
        <w:spacing w:after="0" w:line="178"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The stock purchase awards under our Incentive Stock Plan described above are granted at the Committee’s regularly scheduled meetings in January following the availability of financial results for the prior year, and all LTIP awards are granted in May to enable us to consider current proxy information and compensation surveys for comparable companies. In 2014, the Committee granted the newly-developed PSU awards in August, but anticipates granting future PSU awards at the Committee’s regularly scheduled January meeting, which it did in January 2015. Newly hired executive officers may, subject to the discretion of the Committee, receive an award of restricted stock units as of the date of their hire. The per-share exercise price for all stock options is equal to, and the number of restricted stock units is based on, the New York Stock Exchange closing price of Martin Marietta’s common stock on the date of the grant. The Committee’s schedule is determined several months in advance and the proximity of any awards to earnings announcements or other market events is coincidental.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All of Martin Marietta’s equity-based award plans have been approved by shareholders.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Stock Ownership Guidelines</w:t>
      </w:r>
    </w:p>
    <w:p>
      <w:pPr>
        <w:spacing w:after="0" w:line="178"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Rather than stock ownership guidelines expressed as a multiple of salary, we employ stock ownership guidelines in the form of a required holding period of annual cash bonuses converted to Martin Marietta shares, with vesting on the third anniversary of the grant date. There is no additional holding period beyond the vesting date, however a significant portion of the executive compensation program is in the form of equity awards that vest over three, four or five-year periods.</w:t>
      </w:r>
    </w:p>
    <w:p>
      <w:pPr>
        <w:spacing w:after="0" w:line="155"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Our CEO must invest a minimum of 35% of each year’s cash bonus award in common stock units of Martin Marietta. Executive officers must invest a minimum of 20% of their annual bonus. Stock is purchased at a 20% discount to the price on the grant date to account for the additional risk of taking a restricted stock payment in lieu of risk-free cash payment. In 2014, Mr. Nye deferred the maximum of 50% of his cash bonus in common stock units.</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40"/>
          </w:cols>
          <w:pgMar w:left="240" w:top="291" w:right="219" w:bottom="1440" w:gutter="0" w:footer="0" w:header="0"/>
        </w:sectPr>
      </w:pPr>
    </w:p>
    <w:bookmarkStart w:id="46" w:name="page47"/>
    <w:bookmarkEnd w:id="46"/>
    <w:p>
      <w:pPr>
        <w:ind w:right="740"/>
        <w:spacing w:after="0" w:line="42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stock ownership levels of our NEOs are consistent with typical tiered stock ownership guidelines employed by major U.S. companies. </w:t>
      </w:r>
      <w:r>
        <w:rPr>
          <w:rFonts w:ascii="Arial" w:cs="Arial" w:eastAsia="Arial" w:hAnsi="Arial"/>
          <w:sz w:val="18"/>
          <w:szCs w:val="18"/>
          <w:b w:val="1"/>
          <w:bCs w:val="1"/>
          <w:i w:val="1"/>
          <w:iCs w:val="1"/>
          <w:u w:val="single" w:color="auto"/>
          <w:color w:val="auto"/>
        </w:rPr>
        <w:t>Perquisites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Martin Marietta provides named executive officers with perquisites that the Committee believes are appropriate, reasonable and consistent with its overall compensation program to better enable Martin Marietta to attract and retain superior employees for key positions. The Committee periodically reviews the types and levels of perquisites provided to the named executive officers. The value of each of the named executive officer’s perquisites is included in the annual compensation set forth in the Summary Compensation Table.</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2014, we provided personal use of leased automobiles to NEOs. We pay for the insurance, maintenance and fuel for such vehicles, and the value of personal mileage and use is charged to the NEO as imputed income. Martin Marietta also provides to executive officers and other employees certain other fringe benefits such as tuition reimbursement, airline club dues, professional society dues, and food and recreational fees incidental to official Company functions. We do not provide other perquisites, such as country club memberships or financial planning services, to the NEOs.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Retirement and Other Benefits</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order to maintain market competitive levels of compensation, we provide retirement and other benefits to the NEOs and other employees, including:</w:t>
      </w:r>
    </w:p>
    <w:p>
      <w:pPr>
        <w:spacing w:after="0" w:line="195"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Medical and dental benefits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Life, accidental death and disability insurance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Pension and savings plans</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benefits under the defined benefit pension plan are more valuable for employees who remain with Martin Marietta for longer periods, thereby furthering our objectives of retaining individuals with more expertise in relevant areas and who can participate in management development for purposes of executive succession planning. All of Martin Marietta’s salaried employees in the United States are eligible to participate in our retirement and other plans, and the NEOs participate in the plans on the same terms as Martin Marietta’s other salaried employees.</w:t>
      </w:r>
    </w:p>
    <w:p>
      <w:pPr>
        <w:spacing w:after="0" w:line="129" w:lineRule="exact"/>
        <w:rPr>
          <w:sz w:val="20"/>
          <w:szCs w:val="20"/>
          <w:color w:val="auto"/>
        </w:rPr>
      </w:pPr>
    </w:p>
    <w:p>
      <w:pPr>
        <w:ind w:right="800"/>
        <w:spacing w:after="0" w:line="422" w:lineRule="auto"/>
        <w:rPr>
          <w:sz w:val="20"/>
          <w:szCs w:val="20"/>
          <w:color w:val="auto"/>
        </w:rPr>
      </w:pPr>
      <w:r>
        <w:rPr>
          <w:rFonts w:ascii="Arial" w:cs="Arial" w:eastAsia="Arial" w:hAnsi="Arial"/>
          <w:sz w:val="18"/>
          <w:szCs w:val="18"/>
          <w:color w:val="auto"/>
        </w:rPr>
        <w:t xml:space="preserve">Additional information regarding these benefits is under the heading Pension Benefits Table on page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and the accompanying narrative. </w:t>
      </w:r>
      <w:r>
        <w:rPr>
          <w:rFonts w:ascii="Arial" w:cs="Arial" w:eastAsia="Arial" w:hAnsi="Arial"/>
          <w:sz w:val="18"/>
          <w:szCs w:val="18"/>
          <w:b w:val="1"/>
          <w:bCs w:val="1"/>
          <w:i w:val="1"/>
          <w:iCs w:val="1"/>
          <w:u w:val="single" w:color="auto"/>
          <w:color w:val="auto"/>
        </w:rPr>
        <w:t>Potential Payments Upon Termination or Change of Control</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do not have written employment agreements with executives. Instead, each of our NEOs has a change-in-control (CIC) severance agreement (an Employment Protection Agreement) that provides for retention and continuity in order to minimize disruptions during a pending or anticipated CIC. The agreements are triggered only by a qualifying termination of employment following a CIC. Martin Marietta’s equity-based award plans and retirement plans also provide for certain post-termination payments and benefits, as well as the acceleration of time periods for purposes of vesting in, or realizing gain from, any outstanding equity award in the event of a CIC. The Committee believes these payments and benefits are also important to align the interests of the executive officers with the interests of the shareholders because the agreements will reduce or eliminate the reluctance to pursue potential change of control transactions that may ultimately lead to termination of their employment but otherwise be in the best interests of our shareholders. The Employment Protection Agreement is described on pages 53 to 54 of this Proxy Statement.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Tax and Accounting Implications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administering the compensation program for NEOs, the Committee considers the applicability of Section 162(m) of the Code, the consequences under financial accounting standards, the tax consequences in our analysis of total compensation and the mix of compensation elements, base, bonus and long-term incentives. For example, we do not issue incentive stock options (ISOs), which would provide potential tax savings to the recipient, because of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91" w:right="239" w:bottom="1440" w:gutter="0" w:footer="0" w:header="0"/>
        </w:sectPr>
      </w:pPr>
    </w:p>
    <w:bookmarkStart w:id="47" w:name="page48"/>
    <w:bookmarkEnd w:id="47"/>
    <w:p>
      <w:pPr>
        <w:jc w:val="both"/>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negative tax and accounting consequences to the Company. Section 162(m) prohibits public companies from taking a tax deduction for compensation that is paid to any one of certain employees in excess of one million dollars, unless the compensation qualifies as performance-based compensation within the meaning of the Code.</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preserve the deductibility of compensation, we intend that grants of long-term incentives are intended to qualify as “qualified performance-based compensation.” The Committee has the discretion to design and implement compensation elements that may not be deductible under Section 162(m) if the Committee determines that, despite the tax consequences, those elements are in our Company’s best interest to adopt. The Committee believes that the achievement of Martin Marietta’s general compensation policies and objectives that are currently in place best serves shareholder interests.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91" w:right="23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Compensation</w:t>
      </w:r>
    </w:p>
    <w:p>
      <w:pPr>
        <w:spacing w:after="0" w:line="97"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 xml:space="preserve">The following tables show annual and long-term compensation, for services in all capacities to Martin Marietta, earned by the Chief Executive Officer, the Chief Financial Officer, and three other executive officers serving as such on December 31, 2014, which we refer to collectively as the “named executive officers” or “NEOs.” These tables and the accompanying narratives should be read in conjunction with the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section of this proxy statement, which provides a detailed overview of the methods used by Martin Marietta to</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compensate its officers, including the named executive officers.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total compensation paid or earned by each of the named executive officers for the fiscal years set forth below.</w:t>
      </w:r>
    </w:p>
    <w:p>
      <w:pPr>
        <w:spacing w:after="0"/>
        <w:rPr>
          <w:sz w:val="20"/>
          <w:szCs w:val="20"/>
          <w:color w:val="auto"/>
        </w:rPr>
      </w:pPr>
      <w:r>
        <w:rPr>
          <w:rFonts w:ascii="Arial" w:cs="Arial" w:eastAsia="Arial" w:hAnsi="Arial"/>
          <w:sz w:val="18"/>
          <w:szCs w:val="18"/>
          <w:color w:val="auto"/>
        </w:rPr>
        <w:t>Martin Marietta has not entered into any employment agreements with any of the named executive officers.</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COMPENSATION TABLE</w:t>
      </w:r>
    </w:p>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600" w:type="dxa"/>
            <w:vAlign w:val="bottom"/>
            <w:tcBorders>
              <w:left w:val="single" w:sz="8" w:color="47829E"/>
              <w:right w:val="single" w:sz="8" w:color="47829E"/>
            </w:tcBorders>
            <w:shd w:val="clear" w:color="auto" w:fill="47829E"/>
          </w:tcPr>
          <w:p>
            <w:pPr>
              <w:spacing w:after="0"/>
              <w:rPr>
                <w:sz w:val="14"/>
                <w:szCs w:val="14"/>
                <w:color w:val="auto"/>
              </w:rPr>
            </w:pPr>
          </w:p>
        </w:tc>
        <w:tc>
          <w:tcPr>
            <w:tcW w:w="580" w:type="dxa"/>
            <w:vAlign w:val="bottom"/>
            <w:tcBorders>
              <w:right w:val="single" w:sz="8" w:color="47829E"/>
            </w:tcBorders>
            <w:shd w:val="clear" w:color="auto" w:fill="47829E"/>
          </w:tcPr>
          <w:p>
            <w:pPr>
              <w:spacing w:after="0"/>
              <w:rPr>
                <w:sz w:val="14"/>
                <w:szCs w:val="14"/>
                <w:color w:val="auto"/>
              </w:rPr>
            </w:pPr>
          </w:p>
        </w:tc>
        <w:tc>
          <w:tcPr>
            <w:tcW w:w="880" w:type="dxa"/>
            <w:vAlign w:val="bottom"/>
            <w:tcBorders>
              <w:right w:val="single" w:sz="8" w:color="47829E"/>
            </w:tcBorders>
            <w:shd w:val="clear" w:color="auto" w:fill="47829E"/>
          </w:tcPr>
          <w:p>
            <w:pPr>
              <w:spacing w:after="0"/>
              <w:rPr>
                <w:sz w:val="14"/>
                <w:szCs w:val="14"/>
                <w:color w:val="auto"/>
              </w:rPr>
            </w:pPr>
          </w:p>
        </w:tc>
        <w:tc>
          <w:tcPr>
            <w:tcW w:w="880" w:type="dxa"/>
            <w:vAlign w:val="bottom"/>
            <w:tcBorders>
              <w:right w:val="single" w:sz="8" w:color="47829E"/>
            </w:tcBorders>
            <w:shd w:val="clear" w:color="auto" w:fill="47829E"/>
          </w:tcPr>
          <w:p>
            <w:pPr>
              <w:spacing w:after="0"/>
              <w:rPr>
                <w:sz w:val="14"/>
                <w:szCs w:val="14"/>
                <w:color w:val="auto"/>
              </w:rPr>
            </w:pPr>
          </w:p>
        </w:tc>
        <w:tc>
          <w:tcPr>
            <w:tcW w:w="920" w:type="dxa"/>
            <w:vAlign w:val="bottom"/>
            <w:tcBorders>
              <w:right w:val="single" w:sz="8" w:color="47829E"/>
            </w:tcBorders>
            <w:shd w:val="clear" w:color="auto" w:fill="47829E"/>
          </w:tcPr>
          <w:p>
            <w:pPr>
              <w:spacing w:after="0"/>
              <w:rPr>
                <w:sz w:val="14"/>
                <w:szCs w:val="14"/>
                <w:color w:val="auto"/>
              </w:rPr>
            </w:pPr>
          </w:p>
        </w:tc>
        <w:tc>
          <w:tcPr>
            <w:tcW w:w="940" w:type="dxa"/>
            <w:vAlign w:val="bottom"/>
            <w:tcBorders>
              <w:right w:val="single" w:sz="8" w:color="47829E"/>
            </w:tcBorders>
            <w:shd w:val="clear" w:color="auto" w:fill="47829E"/>
          </w:tcPr>
          <w:p>
            <w:pPr>
              <w:spacing w:after="0"/>
              <w:rPr>
                <w:sz w:val="14"/>
                <w:szCs w:val="14"/>
                <w:color w:val="auto"/>
              </w:rPr>
            </w:pPr>
          </w:p>
        </w:tc>
        <w:tc>
          <w:tcPr>
            <w:tcW w:w="1120" w:type="dxa"/>
            <w:vAlign w:val="bottom"/>
            <w:tcBorders>
              <w:right w:val="single" w:sz="8" w:color="47829E"/>
            </w:tcBorders>
            <w:shd w:val="clear" w:color="auto" w:fill="47829E"/>
          </w:tcPr>
          <w:p>
            <w:pPr>
              <w:spacing w:after="0"/>
              <w:rPr>
                <w:sz w:val="14"/>
                <w:szCs w:val="14"/>
                <w:color w:val="auto"/>
              </w:rPr>
            </w:pPr>
          </w:p>
        </w:tc>
        <w:tc>
          <w:tcPr>
            <w:tcW w:w="12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94"/>
              </w:rPr>
              <w:t>Change in</w:t>
            </w:r>
          </w:p>
        </w:tc>
        <w:tc>
          <w:tcPr>
            <w:tcW w:w="1240" w:type="dxa"/>
            <w:vAlign w:val="bottom"/>
            <w:tcBorders>
              <w:right w:val="single" w:sz="8" w:color="47829E"/>
            </w:tcBorders>
            <w:shd w:val="clear" w:color="auto" w:fill="47829E"/>
          </w:tcPr>
          <w:p>
            <w:pPr>
              <w:spacing w:after="0"/>
              <w:rPr>
                <w:sz w:val="14"/>
                <w:szCs w:val="14"/>
                <w:color w:val="auto"/>
              </w:rPr>
            </w:pPr>
          </w:p>
        </w:tc>
        <w:tc>
          <w:tcPr>
            <w:tcW w:w="1020" w:type="dxa"/>
            <w:vAlign w:val="bottom"/>
            <w:tcBorders>
              <w:right w:val="single" w:sz="8" w:color="47829E"/>
            </w:tcBorders>
            <w:shd w:val="clear" w:color="auto" w:fill="47829E"/>
          </w:tcPr>
          <w:p>
            <w:pPr>
              <w:spacing w:after="0"/>
              <w:rPr>
                <w:sz w:val="14"/>
                <w:szCs w:val="14"/>
                <w:color w:val="auto"/>
              </w:rPr>
            </w:pPr>
          </w:p>
        </w:tc>
      </w:tr>
      <w:tr>
        <w:trPr>
          <w:trHeight w:val="149"/>
        </w:trPr>
        <w:tc>
          <w:tcPr>
            <w:tcW w:w="2600" w:type="dxa"/>
            <w:vAlign w:val="bottom"/>
            <w:tcBorders>
              <w:left w:val="single" w:sz="8" w:color="47829E"/>
              <w:right w:val="single" w:sz="8" w:color="47829E"/>
            </w:tcBorders>
            <w:shd w:val="clear" w:color="auto" w:fill="47829E"/>
          </w:tcPr>
          <w:p>
            <w:pPr>
              <w:spacing w:after="0"/>
              <w:rPr>
                <w:sz w:val="12"/>
                <w:szCs w:val="12"/>
                <w:color w:val="auto"/>
              </w:rPr>
            </w:pPr>
          </w:p>
        </w:tc>
        <w:tc>
          <w:tcPr>
            <w:tcW w:w="580" w:type="dxa"/>
            <w:vAlign w:val="bottom"/>
            <w:tcBorders>
              <w:right w:val="single" w:sz="8" w:color="47829E"/>
            </w:tcBorders>
            <w:shd w:val="clear" w:color="auto" w:fill="47829E"/>
          </w:tcPr>
          <w:p>
            <w:pPr>
              <w:spacing w:after="0"/>
              <w:rPr>
                <w:sz w:val="12"/>
                <w:szCs w:val="12"/>
                <w:color w:val="auto"/>
              </w:rPr>
            </w:pPr>
          </w:p>
        </w:tc>
        <w:tc>
          <w:tcPr>
            <w:tcW w:w="880" w:type="dxa"/>
            <w:vAlign w:val="bottom"/>
            <w:tcBorders>
              <w:right w:val="single" w:sz="8" w:color="47829E"/>
            </w:tcBorders>
            <w:shd w:val="clear" w:color="auto" w:fill="47829E"/>
          </w:tcPr>
          <w:p>
            <w:pPr>
              <w:spacing w:after="0"/>
              <w:rPr>
                <w:sz w:val="12"/>
                <w:szCs w:val="12"/>
                <w:color w:val="auto"/>
              </w:rPr>
            </w:pPr>
          </w:p>
        </w:tc>
        <w:tc>
          <w:tcPr>
            <w:tcW w:w="880" w:type="dxa"/>
            <w:vAlign w:val="bottom"/>
            <w:tcBorders>
              <w:right w:val="single" w:sz="8" w:color="47829E"/>
            </w:tcBorders>
            <w:shd w:val="clear" w:color="auto" w:fill="47829E"/>
          </w:tcPr>
          <w:p>
            <w:pPr>
              <w:spacing w:after="0"/>
              <w:rPr>
                <w:sz w:val="12"/>
                <w:szCs w:val="12"/>
                <w:color w:val="auto"/>
              </w:rPr>
            </w:pPr>
          </w:p>
        </w:tc>
        <w:tc>
          <w:tcPr>
            <w:tcW w:w="920" w:type="dxa"/>
            <w:vAlign w:val="bottom"/>
            <w:tcBorders>
              <w:right w:val="single" w:sz="8" w:color="47829E"/>
            </w:tcBorders>
            <w:shd w:val="clear" w:color="auto" w:fill="47829E"/>
          </w:tcPr>
          <w:p>
            <w:pPr>
              <w:spacing w:after="0"/>
              <w:rPr>
                <w:sz w:val="12"/>
                <w:szCs w:val="12"/>
                <w:color w:val="auto"/>
              </w:rPr>
            </w:pPr>
          </w:p>
        </w:tc>
        <w:tc>
          <w:tcPr>
            <w:tcW w:w="940" w:type="dxa"/>
            <w:vAlign w:val="bottom"/>
            <w:tcBorders>
              <w:right w:val="single" w:sz="8" w:color="47829E"/>
            </w:tcBorders>
            <w:shd w:val="clear" w:color="auto" w:fill="47829E"/>
          </w:tcPr>
          <w:p>
            <w:pPr>
              <w:spacing w:after="0"/>
              <w:rPr>
                <w:sz w:val="12"/>
                <w:szCs w:val="12"/>
                <w:color w:val="auto"/>
              </w:rPr>
            </w:pPr>
          </w:p>
        </w:tc>
        <w:tc>
          <w:tcPr>
            <w:tcW w:w="1120" w:type="dxa"/>
            <w:vAlign w:val="bottom"/>
            <w:tcBorders>
              <w:right w:val="single" w:sz="8" w:color="47829E"/>
            </w:tcBorders>
            <w:shd w:val="clear" w:color="auto" w:fill="47829E"/>
          </w:tcPr>
          <w:p>
            <w:pPr>
              <w:spacing w:after="0"/>
              <w:rPr>
                <w:sz w:val="12"/>
                <w:szCs w:val="12"/>
                <w:color w:val="auto"/>
              </w:rPr>
            </w:pPr>
          </w:p>
        </w:tc>
        <w:tc>
          <w:tcPr>
            <w:tcW w:w="126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6"/>
              </w:rPr>
              <w:t>Pension Value</w:t>
            </w:r>
          </w:p>
        </w:tc>
        <w:tc>
          <w:tcPr>
            <w:tcW w:w="1240" w:type="dxa"/>
            <w:vAlign w:val="bottom"/>
            <w:tcBorders>
              <w:right w:val="single" w:sz="8" w:color="47829E"/>
            </w:tcBorders>
            <w:shd w:val="clear" w:color="auto" w:fill="47829E"/>
          </w:tcPr>
          <w:p>
            <w:pPr>
              <w:spacing w:after="0"/>
              <w:rPr>
                <w:sz w:val="12"/>
                <w:szCs w:val="12"/>
                <w:color w:val="auto"/>
              </w:rPr>
            </w:pPr>
          </w:p>
        </w:tc>
        <w:tc>
          <w:tcPr>
            <w:tcW w:w="1020" w:type="dxa"/>
            <w:vAlign w:val="bottom"/>
            <w:tcBorders>
              <w:right w:val="single" w:sz="8" w:color="47829E"/>
            </w:tcBorders>
            <w:shd w:val="clear" w:color="auto" w:fill="47829E"/>
          </w:tcPr>
          <w:p>
            <w:pPr>
              <w:spacing w:after="0"/>
              <w:rPr>
                <w:sz w:val="12"/>
                <w:szCs w:val="12"/>
                <w:color w:val="auto"/>
              </w:rPr>
            </w:pPr>
          </w:p>
        </w:tc>
      </w:tr>
      <w:tr>
        <w:trPr>
          <w:trHeight w:val="149"/>
        </w:trPr>
        <w:tc>
          <w:tcPr>
            <w:tcW w:w="2600" w:type="dxa"/>
            <w:vAlign w:val="bottom"/>
            <w:tcBorders>
              <w:left w:val="single" w:sz="8" w:color="47829E"/>
              <w:right w:val="single" w:sz="8" w:color="47829E"/>
            </w:tcBorders>
            <w:shd w:val="clear" w:color="auto" w:fill="47829E"/>
          </w:tcPr>
          <w:p>
            <w:pPr>
              <w:spacing w:after="0"/>
              <w:rPr>
                <w:sz w:val="12"/>
                <w:szCs w:val="12"/>
                <w:color w:val="auto"/>
              </w:rPr>
            </w:pPr>
          </w:p>
        </w:tc>
        <w:tc>
          <w:tcPr>
            <w:tcW w:w="580" w:type="dxa"/>
            <w:vAlign w:val="bottom"/>
            <w:tcBorders>
              <w:right w:val="single" w:sz="8" w:color="47829E"/>
            </w:tcBorders>
            <w:shd w:val="clear" w:color="auto" w:fill="47829E"/>
          </w:tcPr>
          <w:p>
            <w:pPr>
              <w:spacing w:after="0"/>
              <w:rPr>
                <w:sz w:val="12"/>
                <w:szCs w:val="12"/>
                <w:color w:val="auto"/>
              </w:rPr>
            </w:pPr>
          </w:p>
        </w:tc>
        <w:tc>
          <w:tcPr>
            <w:tcW w:w="880" w:type="dxa"/>
            <w:vAlign w:val="bottom"/>
            <w:tcBorders>
              <w:right w:val="single" w:sz="8" w:color="47829E"/>
            </w:tcBorders>
            <w:shd w:val="clear" w:color="auto" w:fill="47829E"/>
          </w:tcPr>
          <w:p>
            <w:pPr>
              <w:spacing w:after="0"/>
              <w:rPr>
                <w:sz w:val="12"/>
                <w:szCs w:val="12"/>
                <w:color w:val="auto"/>
              </w:rPr>
            </w:pPr>
          </w:p>
        </w:tc>
        <w:tc>
          <w:tcPr>
            <w:tcW w:w="880" w:type="dxa"/>
            <w:vAlign w:val="bottom"/>
            <w:tcBorders>
              <w:right w:val="single" w:sz="8" w:color="47829E"/>
            </w:tcBorders>
            <w:shd w:val="clear" w:color="auto" w:fill="47829E"/>
          </w:tcPr>
          <w:p>
            <w:pPr>
              <w:spacing w:after="0"/>
              <w:rPr>
                <w:sz w:val="12"/>
                <w:szCs w:val="12"/>
                <w:color w:val="auto"/>
              </w:rPr>
            </w:pPr>
          </w:p>
        </w:tc>
        <w:tc>
          <w:tcPr>
            <w:tcW w:w="920" w:type="dxa"/>
            <w:vAlign w:val="bottom"/>
            <w:tcBorders>
              <w:right w:val="single" w:sz="8" w:color="47829E"/>
            </w:tcBorders>
            <w:shd w:val="clear" w:color="auto" w:fill="47829E"/>
          </w:tcPr>
          <w:p>
            <w:pPr>
              <w:spacing w:after="0"/>
              <w:rPr>
                <w:sz w:val="12"/>
                <w:szCs w:val="12"/>
                <w:color w:val="auto"/>
              </w:rPr>
            </w:pPr>
          </w:p>
        </w:tc>
        <w:tc>
          <w:tcPr>
            <w:tcW w:w="940" w:type="dxa"/>
            <w:vAlign w:val="bottom"/>
            <w:tcBorders>
              <w:right w:val="single" w:sz="8" w:color="47829E"/>
            </w:tcBorders>
            <w:shd w:val="clear" w:color="auto" w:fill="47829E"/>
          </w:tcPr>
          <w:p>
            <w:pPr>
              <w:spacing w:after="0"/>
              <w:rPr>
                <w:sz w:val="12"/>
                <w:szCs w:val="12"/>
                <w:color w:val="auto"/>
              </w:rPr>
            </w:pPr>
          </w:p>
        </w:tc>
        <w:tc>
          <w:tcPr>
            <w:tcW w:w="1120" w:type="dxa"/>
            <w:vAlign w:val="bottom"/>
            <w:tcBorders>
              <w:right w:val="single" w:sz="8" w:color="47829E"/>
            </w:tcBorders>
            <w:shd w:val="clear" w:color="auto" w:fill="47829E"/>
          </w:tcPr>
          <w:p>
            <w:pPr>
              <w:spacing w:after="0"/>
              <w:rPr>
                <w:sz w:val="12"/>
                <w:szCs w:val="12"/>
                <w:color w:val="auto"/>
              </w:rPr>
            </w:pPr>
          </w:p>
        </w:tc>
        <w:tc>
          <w:tcPr>
            <w:tcW w:w="126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5"/>
              </w:rPr>
              <w:t>and Non-</w:t>
            </w:r>
          </w:p>
        </w:tc>
        <w:tc>
          <w:tcPr>
            <w:tcW w:w="1240" w:type="dxa"/>
            <w:vAlign w:val="bottom"/>
            <w:tcBorders>
              <w:right w:val="single" w:sz="8" w:color="47829E"/>
            </w:tcBorders>
            <w:shd w:val="clear" w:color="auto" w:fill="47829E"/>
          </w:tcPr>
          <w:p>
            <w:pPr>
              <w:spacing w:after="0"/>
              <w:rPr>
                <w:sz w:val="12"/>
                <w:szCs w:val="12"/>
                <w:color w:val="auto"/>
              </w:rPr>
            </w:pPr>
          </w:p>
        </w:tc>
        <w:tc>
          <w:tcPr>
            <w:tcW w:w="1020" w:type="dxa"/>
            <w:vAlign w:val="bottom"/>
            <w:tcBorders>
              <w:right w:val="single" w:sz="8" w:color="47829E"/>
            </w:tcBorders>
            <w:shd w:val="clear" w:color="auto" w:fill="47829E"/>
          </w:tcPr>
          <w:p>
            <w:pPr>
              <w:spacing w:after="0"/>
              <w:rPr>
                <w:sz w:val="12"/>
                <w:szCs w:val="12"/>
                <w:color w:val="auto"/>
              </w:rPr>
            </w:pPr>
          </w:p>
        </w:tc>
      </w:tr>
      <w:tr>
        <w:trPr>
          <w:trHeight w:val="149"/>
        </w:trPr>
        <w:tc>
          <w:tcPr>
            <w:tcW w:w="2600" w:type="dxa"/>
            <w:vAlign w:val="bottom"/>
            <w:tcBorders>
              <w:left w:val="single" w:sz="8" w:color="47829E"/>
              <w:right w:val="single" w:sz="8" w:color="47829E"/>
            </w:tcBorders>
            <w:shd w:val="clear" w:color="auto" w:fill="47829E"/>
          </w:tcPr>
          <w:p>
            <w:pPr>
              <w:spacing w:after="0"/>
              <w:rPr>
                <w:sz w:val="12"/>
                <w:szCs w:val="12"/>
                <w:color w:val="auto"/>
              </w:rPr>
            </w:pPr>
          </w:p>
        </w:tc>
        <w:tc>
          <w:tcPr>
            <w:tcW w:w="580" w:type="dxa"/>
            <w:vAlign w:val="bottom"/>
            <w:tcBorders>
              <w:right w:val="single" w:sz="8" w:color="47829E"/>
            </w:tcBorders>
            <w:shd w:val="clear" w:color="auto" w:fill="47829E"/>
          </w:tcPr>
          <w:p>
            <w:pPr>
              <w:spacing w:after="0"/>
              <w:rPr>
                <w:sz w:val="12"/>
                <w:szCs w:val="12"/>
                <w:color w:val="auto"/>
              </w:rPr>
            </w:pPr>
          </w:p>
        </w:tc>
        <w:tc>
          <w:tcPr>
            <w:tcW w:w="880" w:type="dxa"/>
            <w:vAlign w:val="bottom"/>
            <w:tcBorders>
              <w:right w:val="single" w:sz="8" w:color="47829E"/>
            </w:tcBorders>
            <w:shd w:val="clear" w:color="auto" w:fill="47829E"/>
          </w:tcPr>
          <w:p>
            <w:pPr>
              <w:spacing w:after="0"/>
              <w:rPr>
                <w:sz w:val="12"/>
                <w:szCs w:val="12"/>
                <w:color w:val="auto"/>
              </w:rPr>
            </w:pPr>
          </w:p>
        </w:tc>
        <w:tc>
          <w:tcPr>
            <w:tcW w:w="880" w:type="dxa"/>
            <w:vAlign w:val="bottom"/>
            <w:tcBorders>
              <w:right w:val="single" w:sz="8" w:color="47829E"/>
            </w:tcBorders>
            <w:shd w:val="clear" w:color="auto" w:fill="47829E"/>
          </w:tcPr>
          <w:p>
            <w:pPr>
              <w:spacing w:after="0"/>
              <w:rPr>
                <w:sz w:val="12"/>
                <w:szCs w:val="12"/>
                <w:color w:val="auto"/>
              </w:rPr>
            </w:pPr>
          </w:p>
        </w:tc>
        <w:tc>
          <w:tcPr>
            <w:tcW w:w="920" w:type="dxa"/>
            <w:vAlign w:val="bottom"/>
            <w:tcBorders>
              <w:right w:val="single" w:sz="8" w:color="47829E"/>
            </w:tcBorders>
            <w:shd w:val="clear" w:color="auto" w:fill="47829E"/>
          </w:tcPr>
          <w:p>
            <w:pPr>
              <w:spacing w:after="0"/>
              <w:rPr>
                <w:sz w:val="12"/>
                <w:szCs w:val="12"/>
                <w:color w:val="auto"/>
              </w:rPr>
            </w:pPr>
          </w:p>
        </w:tc>
        <w:tc>
          <w:tcPr>
            <w:tcW w:w="940" w:type="dxa"/>
            <w:vAlign w:val="bottom"/>
            <w:tcBorders>
              <w:right w:val="single" w:sz="8" w:color="47829E"/>
            </w:tcBorders>
            <w:shd w:val="clear" w:color="auto" w:fill="47829E"/>
          </w:tcPr>
          <w:p>
            <w:pPr>
              <w:spacing w:after="0"/>
              <w:rPr>
                <w:sz w:val="12"/>
                <w:szCs w:val="12"/>
                <w:color w:val="auto"/>
              </w:rPr>
            </w:pPr>
          </w:p>
        </w:tc>
        <w:tc>
          <w:tcPr>
            <w:tcW w:w="1120" w:type="dxa"/>
            <w:vAlign w:val="bottom"/>
            <w:tcBorders>
              <w:right w:val="single" w:sz="8" w:color="47829E"/>
            </w:tcBorders>
            <w:shd w:val="clear" w:color="auto" w:fill="47829E"/>
          </w:tcPr>
          <w:p>
            <w:pPr>
              <w:spacing w:after="0"/>
              <w:rPr>
                <w:sz w:val="12"/>
                <w:szCs w:val="12"/>
                <w:color w:val="auto"/>
              </w:rPr>
            </w:pPr>
          </w:p>
        </w:tc>
        <w:tc>
          <w:tcPr>
            <w:tcW w:w="126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6"/>
              </w:rPr>
              <w:t>Qualified</w:t>
            </w:r>
          </w:p>
        </w:tc>
        <w:tc>
          <w:tcPr>
            <w:tcW w:w="1240" w:type="dxa"/>
            <w:vAlign w:val="bottom"/>
            <w:tcBorders>
              <w:right w:val="single" w:sz="8" w:color="47829E"/>
            </w:tcBorders>
            <w:shd w:val="clear" w:color="auto" w:fill="47829E"/>
          </w:tcPr>
          <w:p>
            <w:pPr>
              <w:spacing w:after="0"/>
              <w:rPr>
                <w:sz w:val="12"/>
                <w:szCs w:val="12"/>
                <w:color w:val="auto"/>
              </w:rPr>
            </w:pPr>
          </w:p>
        </w:tc>
        <w:tc>
          <w:tcPr>
            <w:tcW w:w="1020" w:type="dxa"/>
            <w:vAlign w:val="bottom"/>
            <w:tcBorders>
              <w:right w:val="single" w:sz="8" w:color="47829E"/>
            </w:tcBorders>
            <w:shd w:val="clear" w:color="auto" w:fill="47829E"/>
          </w:tcPr>
          <w:p>
            <w:pPr>
              <w:spacing w:after="0"/>
              <w:rPr>
                <w:sz w:val="12"/>
                <w:szCs w:val="12"/>
                <w:color w:val="auto"/>
              </w:rPr>
            </w:pPr>
          </w:p>
        </w:tc>
      </w:tr>
      <w:tr>
        <w:trPr>
          <w:trHeight w:val="152"/>
        </w:trPr>
        <w:tc>
          <w:tcPr>
            <w:tcW w:w="2600" w:type="dxa"/>
            <w:vAlign w:val="bottom"/>
            <w:tcBorders>
              <w:left w:val="single" w:sz="8" w:color="47829E"/>
              <w:right w:val="single" w:sz="8" w:color="47829E"/>
            </w:tcBorders>
            <w:shd w:val="clear" w:color="auto" w:fill="47829E"/>
          </w:tcPr>
          <w:p>
            <w:pPr>
              <w:spacing w:after="0"/>
              <w:rPr>
                <w:sz w:val="13"/>
                <w:szCs w:val="13"/>
                <w:color w:val="auto"/>
              </w:rPr>
            </w:pPr>
          </w:p>
        </w:tc>
        <w:tc>
          <w:tcPr>
            <w:tcW w:w="580" w:type="dxa"/>
            <w:vAlign w:val="bottom"/>
            <w:tcBorders>
              <w:right w:val="single" w:sz="8" w:color="47829E"/>
            </w:tcBorders>
            <w:shd w:val="clear" w:color="auto" w:fill="47829E"/>
          </w:tcPr>
          <w:p>
            <w:pPr>
              <w:spacing w:after="0"/>
              <w:rPr>
                <w:sz w:val="13"/>
                <w:szCs w:val="13"/>
                <w:color w:val="auto"/>
              </w:rPr>
            </w:pPr>
          </w:p>
        </w:tc>
        <w:tc>
          <w:tcPr>
            <w:tcW w:w="880" w:type="dxa"/>
            <w:vAlign w:val="bottom"/>
            <w:tcBorders>
              <w:right w:val="single" w:sz="8" w:color="47829E"/>
            </w:tcBorders>
            <w:shd w:val="clear" w:color="auto" w:fill="47829E"/>
          </w:tcPr>
          <w:p>
            <w:pPr>
              <w:spacing w:after="0"/>
              <w:rPr>
                <w:sz w:val="13"/>
                <w:szCs w:val="13"/>
                <w:color w:val="auto"/>
              </w:rPr>
            </w:pPr>
          </w:p>
        </w:tc>
        <w:tc>
          <w:tcPr>
            <w:tcW w:w="880" w:type="dxa"/>
            <w:vAlign w:val="bottom"/>
            <w:tcBorders>
              <w:right w:val="single" w:sz="8" w:color="47829E"/>
            </w:tcBorders>
            <w:shd w:val="clear" w:color="auto" w:fill="47829E"/>
          </w:tcPr>
          <w:p>
            <w:pPr>
              <w:spacing w:after="0"/>
              <w:rPr>
                <w:sz w:val="13"/>
                <w:szCs w:val="13"/>
                <w:color w:val="auto"/>
              </w:rPr>
            </w:pPr>
          </w:p>
        </w:tc>
        <w:tc>
          <w:tcPr>
            <w:tcW w:w="920" w:type="dxa"/>
            <w:vAlign w:val="bottom"/>
            <w:tcBorders>
              <w:right w:val="single" w:sz="8" w:color="47829E"/>
            </w:tcBorders>
            <w:shd w:val="clear" w:color="auto" w:fill="47829E"/>
          </w:tcPr>
          <w:p>
            <w:pPr>
              <w:spacing w:after="0"/>
              <w:rPr>
                <w:sz w:val="13"/>
                <w:szCs w:val="13"/>
                <w:color w:val="auto"/>
              </w:rPr>
            </w:pPr>
          </w:p>
        </w:tc>
        <w:tc>
          <w:tcPr>
            <w:tcW w:w="940" w:type="dxa"/>
            <w:vAlign w:val="bottom"/>
            <w:tcBorders>
              <w:right w:val="single" w:sz="8" w:color="47829E"/>
            </w:tcBorders>
            <w:shd w:val="clear" w:color="auto" w:fill="47829E"/>
          </w:tcPr>
          <w:p>
            <w:pPr>
              <w:spacing w:after="0"/>
              <w:rPr>
                <w:sz w:val="13"/>
                <w:szCs w:val="13"/>
                <w:color w:val="auto"/>
              </w:rPr>
            </w:pPr>
          </w:p>
        </w:tc>
        <w:tc>
          <w:tcPr>
            <w:tcW w:w="1120" w:type="dxa"/>
            <w:vAlign w:val="bottom"/>
            <w:tcBorders>
              <w:right w:val="single" w:sz="8" w:color="47829E"/>
            </w:tcBorders>
            <w:shd w:val="clear" w:color="auto" w:fill="47829E"/>
          </w:tcPr>
          <w:p>
            <w:pPr>
              <w:jc w:val="center"/>
              <w:spacing w:after="0" w:line="152" w:lineRule="exact"/>
              <w:rPr>
                <w:sz w:val="20"/>
                <w:szCs w:val="20"/>
                <w:color w:val="auto"/>
              </w:rPr>
            </w:pPr>
            <w:r>
              <w:rPr>
                <w:rFonts w:ascii="Arial" w:cs="Arial" w:eastAsia="Arial" w:hAnsi="Arial"/>
                <w:sz w:val="14"/>
                <w:szCs w:val="14"/>
                <w:b w:val="1"/>
                <w:bCs w:val="1"/>
                <w:color w:val="FFFFFF"/>
                <w:w w:val="96"/>
              </w:rPr>
              <w:t>Non-Equity</w:t>
            </w:r>
          </w:p>
        </w:tc>
        <w:tc>
          <w:tcPr>
            <w:tcW w:w="1260" w:type="dxa"/>
            <w:vAlign w:val="bottom"/>
            <w:tcBorders>
              <w:right w:val="single" w:sz="8" w:color="47829E"/>
            </w:tcBorders>
            <w:shd w:val="clear" w:color="auto" w:fill="47829E"/>
          </w:tcPr>
          <w:p>
            <w:pPr>
              <w:jc w:val="center"/>
              <w:spacing w:after="0" w:line="152" w:lineRule="exact"/>
              <w:rPr>
                <w:sz w:val="20"/>
                <w:szCs w:val="20"/>
                <w:color w:val="auto"/>
              </w:rPr>
            </w:pPr>
            <w:r>
              <w:rPr>
                <w:rFonts w:ascii="Arial" w:cs="Arial" w:eastAsia="Arial" w:hAnsi="Arial"/>
                <w:sz w:val="14"/>
                <w:szCs w:val="14"/>
                <w:b w:val="1"/>
                <w:bCs w:val="1"/>
                <w:color w:val="FFFFFF"/>
                <w:w w:val="97"/>
              </w:rPr>
              <w:t>Deferred</w:t>
            </w:r>
          </w:p>
        </w:tc>
        <w:tc>
          <w:tcPr>
            <w:tcW w:w="1240" w:type="dxa"/>
            <w:vAlign w:val="bottom"/>
            <w:tcBorders>
              <w:right w:val="single" w:sz="8" w:color="47829E"/>
            </w:tcBorders>
            <w:shd w:val="clear" w:color="auto" w:fill="47829E"/>
          </w:tcPr>
          <w:p>
            <w:pPr>
              <w:spacing w:after="0"/>
              <w:rPr>
                <w:sz w:val="13"/>
                <w:szCs w:val="13"/>
                <w:color w:val="auto"/>
              </w:rPr>
            </w:pPr>
          </w:p>
        </w:tc>
        <w:tc>
          <w:tcPr>
            <w:tcW w:w="1020" w:type="dxa"/>
            <w:vAlign w:val="bottom"/>
            <w:tcBorders>
              <w:right w:val="single" w:sz="8" w:color="47829E"/>
            </w:tcBorders>
            <w:shd w:val="clear" w:color="auto" w:fill="47829E"/>
          </w:tcPr>
          <w:p>
            <w:pPr>
              <w:spacing w:after="0"/>
              <w:rPr>
                <w:sz w:val="13"/>
                <w:szCs w:val="13"/>
                <w:color w:val="auto"/>
              </w:rPr>
            </w:pPr>
          </w:p>
        </w:tc>
      </w:tr>
      <w:tr>
        <w:trPr>
          <w:trHeight w:val="149"/>
        </w:trPr>
        <w:tc>
          <w:tcPr>
            <w:tcW w:w="2600" w:type="dxa"/>
            <w:vAlign w:val="bottom"/>
            <w:tcBorders>
              <w:left w:val="single" w:sz="8" w:color="47829E"/>
              <w:right w:val="single" w:sz="8" w:color="47829E"/>
            </w:tcBorders>
            <w:shd w:val="clear" w:color="auto" w:fill="47829E"/>
          </w:tcPr>
          <w:p>
            <w:pPr>
              <w:spacing w:after="0"/>
              <w:rPr>
                <w:sz w:val="12"/>
                <w:szCs w:val="12"/>
                <w:color w:val="auto"/>
              </w:rPr>
            </w:pPr>
          </w:p>
        </w:tc>
        <w:tc>
          <w:tcPr>
            <w:tcW w:w="580" w:type="dxa"/>
            <w:vAlign w:val="bottom"/>
            <w:tcBorders>
              <w:right w:val="single" w:sz="8" w:color="47829E"/>
            </w:tcBorders>
            <w:shd w:val="clear" w:color="auto" w:fill="47829E"/>
          </w:tcPr>
          <w:p>
            <w:pPr>
              <w:spacing w:after="0"/>
              <w:rPr>
                <w:sz w:val="12"/>
                <w:szCs w:val="12"/>
                <w:color w:val="auto"/>
              </w:rPr>
            </w:pPr>
          </w:p>
        </w:tc>
        <w:tc>
          <w:tcPr>
            <w:tcW w:w="880" w:type="dxa"/>
            <w:vAlign w:val="bottom"/>
            <w:tcBorders>
              <w:right w:val="single" w:sz="8" w:color="47829E"/>
            </w:tcBorders>
            <w:shd w:val="clear" w:color="auto" w:fill="47829E"/>
          </w:tcPr>
          <w:p>
            <w:pPr>
              <w:spacing w:after="0"/>
              <w:rPr>
                <w:sz w:val="12"/>
                <w:szCs w:val="12"/>
                <w:color w:val="auto"/>
              </w:rPr>
            </w:pPr>
          </w:p>
        </w:tc>
        <w:tc>
          <w:tcPr>
            <w:tcW w:w="880" w:type="dxa"/>
            <w:vAlign w:val="bottom"/>
            <w:tcBorders>
              <w:right w:val="single" w:sz="8" w:color="47829E"/>
            </w:tcBorders>
            <w:shd w:val="clear" w:color="auto" w:fill="47829E"/>
          </w:tcPr>
          <w:p>
            <w:pPr>
              <w:spacing w:after="0"/>
              <w:rPr>
                <w:sz w:val="12"/>
                <w:szCs w:val="12"/>
                <w:color w:val="auto"/>
              </w:rPr>
            </w:pPr>
          </w:p>
        </w:tc>
        <w:tc>
          <w:tcPr>
            <w:tcW w:w="92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9"/>
              </w:rPr>
              <w:t>Stock</w:t>
            </w:r>
          </w:p>
        </w:tc>
        <w:tc>
          <w:tcPr>
            <w:tcW w:w="94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7"/>
              </w:rPr>
              <w:t>Option</w:t>
            </w:r>
          </w:p>
        </w:tc>
        <w:tc>
          <w:tcPr>
            <w:tcW w:w="112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5"/>
              </w:rPr>
              <w:t>Incentive Plan</w:t>
            </w:r>
          </w:p>
        </w:tc>
        <w:tc>
          <w:tcPr>
            <w:tcW w:w="126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6"/>
              </w:rPr>
              <w:t>Compensation</w:t>
            </w:r>
          </w:p>
        </w:tc>
        <w:tc>
          <w:tcPr>
            <w:tcW w:w="124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8"/>
              </w:rPr>
              <w:t>All Other</w:t>
            </w:r>
          </w:p>
        </w:tc>
        <w:tc>
          <w:tcPr>
            <w:tcW w:w="1020" w:type="dxa"/>
            <w:vAlign w:val="bottom"/>
            <w:tcBorders>
              <w:right w:val="single" w:sz="8" w:color="47829E"/>
            </w:tcBorders>
            <w:shd w:val="clear" w:color="auto" w:fill="47829E"/>
          </w:tcPr>
          <w:p>
            <w:pPr>
              <w:spacing w:after="0"/>
              <w:rPr>
                <w:sz w:val="12"/>
                <w:szCs w:val="12"/>
                <w:color w:val="auto"/>
              </w:rPr>
            </w:pPr>
          </w:p>
        </w:tc>
      </w:tr>
      <w:tr>
        <w:trPr>
          <w:trHeight w:val="149"/>
        </w:trPr>
        <w:tc>
          <w:tcPr>
            <w:tcW w:w="2600" w:type="dxa"/>
            <w:vAlign w:val="bottom"/>
            <w:tcBorders>
              <w:left w:val="single" w:sz="8" w:color="47829E"/>
              <w:right w:val="single" w:sz="8" w:color="47829E"/>
            </w:tcBorders>
            <w:shd w:val="clear" w:color="auto" w:fill="47829E"/>
          </w:tcPr>
          <w:p>
            <w:pPr>
              <w:ind w:left="120"/>
              <w:spacing w:after="0" w:line="149" w:lineRule="exact"/>
              <w:rPr>
                <w:sz w:val="20"/>
                <w:szCs w:val="20"/>
                <w:color w:val="auto"/>
              </w:rPr>
            </w:pPr>
            <w:r>
              <w:rPr>
                <w:rFonts w:ascii="Arial" w:cs="Arial" w:eastAsia="Arial" w:hAnsi="Arial"/>
                <w:sz w:val="14"/>
                <w:szCs w:val="14"/>
                <w:b w:val="1"/>
                <w:bCs w:val="1"/>
                <w:color w:val="FFFFFF"/>
              </w:rPr>
              <w:t>Name and</w:t>
            </w:r>
          </w:p>
        </w:tc>
        <w:tc>
          <w:tcPr>
            <w:tcW w:w="580" w:type="dxa"/>
            <w:vAlign w:val="bottom"/>
            <w:tcBorders>
              <w:right w:val="single" w:sz="8" w:color="47829E"/>
            </w:tcBorders>
            <w:shd w:val="clear" w:color="auto" w:fill="47829E"/>
          </w:tcPr>
          <w:p>
            <w:pPr>
              <w:spacing w:after="0"/>
              <w:rPr>
                <w:sz w:val="12"/>
                <w:szCs w:val="12"/>
                <w:color w:val="auto"/>
              </w:rPr>
            </w:pPr>
          </w:p>
        </w:tc>
        <w:tc>
          <w:tcPr>
            <w:tcW w:w="880" w:type="dxa"/>
            <w:vAlign w:val="bottom"/>
            <w:tcBorders>
              <w:right w:val="single" w:sz="8" w:color="47829E"/>
            </w:tcBorders>
            <w:shd w:val="clear" w:color="auto" w:fill="47829E"/>
          </w:tcPr>
          <w:p>
            <w:pPr>
              <w:jc w:val="right"/>
              <w:ind w:right="192"/>
              <w:spacing w:after="0" w:line="149" w:lineRule="exact"/>
              <w:rPr>
                <w:sz w:val="20"/>
                <w:szCs w:val="20"/>
                <w:color w:val="auto"/>
              </w:rPr>
            </w:pPr>
            <w:r>
              <w:rPr>
                <w:rFonts w:ascii="Arial" w:cs="Arial" w:eastAsia="Arial" w:hAnsi="Arial"/>
                <w:sz w:val="14"/>
                <w:szCs w:val="14"/>
                <w:b w:val="1"/>
                <w:bCs w:val="1"/>
                <w:color w:val="FFFFFF"/>
              </w:rPr>
              <w:t>Salary</w:t>
            </w:r>
          </w:p>
        </w:tc>
        <w:tc>
          <w:tcPr>
            <w:tcW w:w="880" w:type="dxa"/>
            <w:vAlign w:val="bottom"/>
            <w:tcBorders>
              <w:right w:val="single" w:sz="8" w:color="47829E"/>
            </w:tcBorders>
            <w:shd w:val="clear" w:color="auto" w:fill="47829E"/>
          </w:tcPr>
          <w:p>
            <w:pPr>
              <w:ind w:left="200"/>
              <w:spacing w:after="0" w:line="149" w:lineRule="exact"/>
              <w:rPr>
                <w:sz w:val="20"/>
                <w:szCs w:val="20"/>
                <w:color w:val="auto"/>
              </w:rPr>
            </w:pPr>
            <w:r>
              <w:rPr>
                <w:rFonts w:ascii="Arial" w:cs="Arial" w:eastAsia="Arial" w:hAnsi="Arial"/>
                <w:sz w:val="14"/>
                <w:szCs w:val="14"/>
                <w:b w:val="1"/>
                <w:bCs w:val="1"/>
                <w:color w:val="FFFFFF"/>
              </w:rPr>
              <w:t>Bonus</w:t>
            </w:r>
          </w:p>
        </w:tc>
        <w:tc>
          <w:tcPr>
            <w:tcW w:w="920" w:type="dxa"/>
            <w:vAlign w:val="bottom"/>
            <w:tcBorders>
              <w:right w:val="single" w:sz="8" w:color="47829E"/>
            </w:tcBorders>
            <w:shd w:val="clear" w:color="auto" w:fill="47829E"/>
          </w:tcPr>
          <w:p>
            <w:pPr>
              <w:jc w:val="center"/>
              <w:ind w:right="13"/>
              <w:spacing w:after="0" w:line="149" w:lineRule="exact"/>
              <w:rPr>
                <w:sz w:val="20"/>
                <w:szCs w:val="20"/>
                <w:color w:val="auto"/>
              </w:rPr>
            </w:pPr>
            <w:r>
              <w:rPr>
                <w:rFonts w:ascii="Arial" w:cs="Arial" w:eastAsia="Arial" w:hAnsi="Arial"/>
                <w:sz w:val="14"/>
                <w:szCs w:val="14"/>
                <w:b w:val="1"/>
                <w:bCs w:val="1"/>
                <w:color w:val="FFFFFF"/>
                <w:w w:val="94"/>
              </w:rPr>
              <w:t>Awards</w:t>
            </w:r>
          </w:p>
        </w:tc>
        <w:tc>
          <w:tcPr>
            <w:tcW w:w="94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4"/>
              </w:rPr>
              <w:t>Awards</w:t>
            </w:r>
          </w:p>
        </w:tc>
        <w:tc>
          <w:tcPr>
            <w:tcW w:w="112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6"/>
              </w:rPr>
              <w:t>Compensation</w:t>
            </w:r>
          </w:p>
        </w:tc>
        <w:tc>
          <w:tcPr>
            <w:tcW w:w="126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6"/>
              </w:rPr>
              <w:t>Earnings</w:t>
            </w:r>
          </w:p>
        </w:tc>
        <w:tc>
          <w:tcPr>
            <w:tcW w:w="124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6"/>
              </w:rPr>
              <w:t>Compensation</w:t>
            </w:r>
          </w:p>
        </w:tc>
        <w:tc>
          <w:tcPr>
            <w:tcW w:w="1020" w:type="dxa"/>
            <w:vAlign w:val="bottom"/>
            <w:tcBorders>
              <w:right w:val="single" w:sz="8" w:color="47829E"/>
            </w:tcBorders>
            <w:shd w:val="clear" w:color="auto" w:fill="47829E"/>
          </w:tcPr>
          <w:p>
            <w:pPr>
              <w:jc w:val="center"/>
              <w:ind w:right="112"/>
              <w:spacing w:after="0" w:line="149" w:lineRule="exact"/>
              <w:rPr>
                <w:sz w:val="20"/>
                <w:szCs w:val="20"/>
                <w:color w:val="auto"/>
              </w:rPr>
            </w:pPr>
            <w:r>
              <w:rPr>
                <w:rFonts w:ascii="Arial" w:cs="Arial" w:eastAsia="Arial" w:hAnsi="Arial"/>
                <w:sz w:val="14"/>
                <w:szCs w:val="14"/>
                <w:b w:val="1"/>
                <w:bCs w:val="1"/>
                <w:color w:val="FFFFFF"/>
                <w:w w:val="95"/>
              </w:rPr>
              <w:t>Total</w:t>
            </w:r>
          </w:p>
        </w:tc>
      </w:tr>
      <w:tr>
        <w:trPr>
          <w:trHeight w:val="159"/>
        </w:trPr>
        <w:tc>
          <w:tcPr>
            <w:tcW w:w="2600" w:type="dxa"/>
            <w:vAlign w:val="bottom"/>
            <w:tcBorders>
              <w:left w:val="single" w:sz="8" w:color="47829E"/>
              <w:right w:val="single" w:sz="8" w:color="47829E"/>
            </w:tcBorders>
            <w:shd w:val="clear" w:color="auto" w:fill="47829E"/>
          </w:tcPr>
          <w:p>
            <w:pPr>
              <w:ind w:left="120"/>
              <w:spacing w:after="0" w:line="159" w:lineRule="exact"/>
              <w:rPr>
                <w:sz w:val="20"/>
                <w:szCs w:val="20"/>
                <w:color w:val="auto"/>
              </w:rPr>
            </w:pPr>
            <w:r>
              <w:rPr>
                <w:rFonts w:ascii="Arial" w:cs="Arial" w:eastAsia="Arial" w:hAnsi="Arial"/>
                <w:sz w:val="14"/>
                <w:szCs w:val="14"/>
                <w:b w:val="1"/>
                <w:bCs w:val="1"/>
                <w:color w:val="FFFFFF"/>
              </w:rPr>
              <w:t>Principal Position</w:t>
            </w:r>
          </w:p>
        </w:tc>
        <w:tc>
          <w:tcPr>
            <w:tcW w:w="580" w:type="dxa"/>
            <w:vAlign w:val="bottom"/>
            <w:tcBorders>
              <w:right w:val="single" w:sz="8" w:color="47829E"/>
            </w:tcBorders>
            <w:shd w:val="clear" w:color="auto" w:fill="47829E"/>
          </w:tcPr>
          <w:p>
            <w:pPr>
              <w:ind w:left="120"/>
              <w:spacing w:after="0" w:line="159" w:lineRule="exact"/>
              <w:rPr>
                <w:sz w:val="20"/>
                <w:szCs w:val="20"/>
                <w:color w:val="auto"/>
              </w:rPr>
            </w:pPr>
            <w:r>
              <w:rPr>
                <w:rFonts w:ascii="Arial" w:cs="Arial" w:eastAsia="Arial" w:hAnsi="Arial"/>
                <w:sz w:val="14"/>
                <w:szCs w:val="14"/>
                <w:b w:val="1"/>
                <w:bCs w:val="1"/>
                <w:color w:val="FFFFFF"/>
              </w:rPr>
              <w:t>Year</w:t>
            </w:r>
          </w:p>
        </w:tc>
        <w:tc>
          <w:tcPr>
            <w:tcW w:w="880" w:type="dxa"/>
            <w:vAlign w:val="bottom"/>
            <w:tcBorders>
              <w:right w:val="single" w:sz="8" w:color="47829E"/>
            </w:tcBorders>
            <w:shd w:val="clear" w:color="auto" w:fill="47829E"/>
          </w:tcPr>
          <w:p>
            <w:pPr>
              <w:jc w:val="right"/>
              <w:ind w:right="312"/>
              <w:spacing w:after="0" w:line="159" w:lineRule="exact"/>
              <w:rPr>
                <w:sz w:val="20"/>
                <w:szCs w:val="20"/>
                <w:color w:val="auto"/>
              </w:rPr>
            </w:pPr>
            <w:r>
              <w:rPr>
                <w:rFonts w:ascii="Arial" w:cs="Arial" w:eastAsia="Arial" w:hAnsi="Arial"/>
                <w:sz w:val="14"/>
                <w:szCs w:val="14"/>
                <w:b w:val="1"/>
                <w:bCs w:val="1"/>
                <w:color w:val="FFFFFF"/>
              </w:rPr>
              <w:t>($)</w:t>
            </w:r>
          </w:p>
        </w:tc>
        <w:tc>
          <w:tcPr>
            <w:tcW w:w="880" w:type="dxa"/>
            <w:vAlign w:val="bottom"/>
            <w:tcBorders>
              <w:right w:val="single" w:sz="8" w:color="47829E"/>
            </w:tcBorders>
            <w:shd w:val="clear" w:color="auto" w:fill="47829E"/>
          </w:tcPr>
          <w:p>
            <w:pPr>
              <w:ind w:left="300"/>
              <w:spacing w:after="0" w:line="159"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8"/>
                <w:szCs w:val="18"/>
                <w:b w:val="1"/>
                <w:bCs w:val="1"/>
                <w:color w:val="FFFFFF"/>
                <w:vertAlign w:val="superscript"/>
              </w:rPr>
              <w:t>1</w:t>
            </w:r>
          </w:p>
        </w:tc>
        <w:tc>
          <w:tcPr>
            <w:tcW w:w="92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2"/>
                <w:szCs w:val="12"/>
                <w:b w:val="1"/>
                <w:bCs w:val="1"/>
                <w:color w:val="FFFFFF"/>
              </w:rPr>
              <w:t xml:space="preserve">($) </w:t>
            </w:r>
            <w:r>
              <w:rPr>
                <w:rFonts w:ascii="Arial" w:cs="Arial" w:eastAsia="Arial" w:hAnsi="Arial"/>
                <w:sz w:val="18"/>
                <w:szCs w:val="18"/>
                <w:b w:val="1"/>
                <w:bCs w:val="1"/>
                <w:color w:val="FFFFFF"/>
                <w:vertAlign w:val="superscript"/>
              </w:rPr>
              <w:t>2</w:t>
            </w:r>
          </w:p>
        </w:tc>
        <w:tc>
          <w:tcPr>
            <w:tcW w:w="94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2"/>
                <w:szCs w:val="12"/>
                <w:b w:val="1"/>
                <w:bCs w:val="1"/>
                <w:color w:val="FFFFFF"/>
              </w:rPr>
              <w:t xml:space="preserve">($) </w:t>
            </w:r>
            <w:r>
              <w:rPr>
                <w:rFonts w:ascii="Arial" w:cs="Arial" w:eastAsia="Arial" w:hAnsi="Arial"/>
                <w:sz w:val="18"/>
                <w:szCs w:val="18"/>
                <w:b w:val="1"/>
                <w:bCs w:val="1"/>
                <w:color w:val="FFFFFF"/>
                <w:vertAlign w:val="superscript"/>
              </w:rPr>
              <w:t>3</w:t>
            </w:r>
          </w:p>
        </w:tc>
        <w:tc>
          <w:tcPr>
            <w:tcW w:w="112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4"/>
                <w:szCs w:val="14"/>
                <w:b w:val="1"/>
                <w:bCs w:val="1"/>
                <w:color w:val="FFFFFF"/>
                <w:w w:val="93"/>
              </w:rPr>
              <w:t>($)</w:t>
            </w:r>
          </w:p>
        </w:tc>
        <w:tc>
          <w:tcPr>
            <w:tcW w:w="126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2"/>
                <w:szCs w:val="12"/>
                <w:b w:val="1"/>
                <w:bCs w:val="1"/>
                <w:color w:val="FFFFFF"/>
              </w:rPr>
              <w:t xml:space="preserve">($) </w:t>
            </w:r>
            <w:r>
              <w:rPr>
                <w:rFonts w:ascii="Arial" w:cs="Arial" w:eastAsia="Arial" w:hAnsi="Arial"/>
                <w:sz w:val="18"/>
                <w:szCs w:val="18"/>
                <w:b w:val="1"/>
                <w:bCs w:val="1"/>
                <w:color w:val="FFFFFF"/>
                <w:vertAlign w:val="superscript"/>
              </w:rPr>
              <w:t>4</w:t>
            </w:r>
          </w:p>
        </w:tc>
        <w:tc>
          <w:tcPr>
            <w:tcW w:w="124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8"/>
                <w:szCs w:val="18"/>
                <w:b w:val="1"/>
                <w:bCs w:val="1"/>
                <w:color w:val="FFFFFF"/>
                <w:vertAlign w:val="superscript"/>
              </w:rPr>
              <w:t>5</w:t>
            </w:r>
          </w:p>
        </w:tc>
        <w:tc>
          <w:tcPr>
            <w:tcW w:w="1020" w:type="dxa"/>
            <w:vAlign w:val="bottom"/>
            <w:tcBorders>
              <w:right w:val="single" w:sz="8" w:color="47829E"/>
            </w:tcBorders>
            <w:shd w:val="clear" w:color="auto" w:fill="47829E"/>
          </w:tcPr>
          <w:p>
            <w:pPr>
              <w:jc w:val="center"/>
              <w:ind w:right="112"/>
              <w:spacing w:after="0" w:line="159" w:lineRule="exact"/>
              <w:rPr>
                <w:sz w:val="20"/>
                <w:szCs w:val="20"/>
                <w:color w:val="auto"/>
              </w:rPr>
            </w:pPr>
            <w:r>
              <w:rPr>
                <w:rFonts w:ascii="Arial" w:cs="Arial" w:eastAsia="Arial" w:hAnsi="Arial"/>
                <w:sz w:val="14"/>
                <w:szCs w:val="14"/>
                <w:b w:val="1"/>
                <w:bCs w:val="1"/>
                <w:color w:val="FFFFFF"/>
                <w:w w:val="93"/>
              </w:rPr>
              <w:t>($)</w:t>
            </w:r>
          </w:p>
        </w:tc>
      </w:tr>
      <w:tr>
        <w:trPr>
          <w:trHeight w:val="165"/>
        </w:trPr>
        <w:tc>
          <w:tcPr>
            <w:tcW w:w="2600" w:type="dxa"/>
            <w:vAlign w:val="bottom"/>
            <w:tcBorders>
              <w:left w:val="single" w:sz="8" w:color="47829E"/>
              <w:right w:val="single" w:sz="8" w:color="47829E"/>
            </w:tcBorders>
            <w:shd w:val="clear" w:color="auto" w:fill="47829E"/>
          </w:tcPr>
          <w:p>
            <w:pPr>
              <w:ind w:left="120"/>
              <w:spacing w:after="0"/>
              <w:rPr>
                <w:sz w:val="20"/>
                <w:szCs w:val="20"/>
                <w:color w:val="auto"/>
              </w:rPr>
            </w:pPr>
            <w:r>
              <w:rPr>
                <w:rFonts w:ascii="Arial" w:cs="Arial" w:eastAsia="Arial" w:hAnsi="Arial"/>
                <w:sz w:val="14"/>
                <w:szCs w:val="14"/>
                <w:b w:val="1"/>
                <w:bCs w:val="1"/>
                <w:color w:val="FFFFFF"/>
              </w:rPr>
              <w:t>(a)</w:t>
            </w:r>
          </w:p>
        </w:tc>
        <w:tc>
          <w:tcPr>
            <w:tcW w:w="580" w:type="dxa"/>
            <w:vAlign w:val="bottom"/>
            <w:tcBorders>
              <w:right w:val="single" w:sz="8" w:color="47829E"/>
            </w:tcBorders>
            <w:shd w:val="clear" w:color="auto" w:fill="47829E"/>
          </w:tcPr>
          <w:p>
            <w:pPr>
              <w:ind w:left="180"/>
              <w:spacing w:after="0"/>
              <w:rPr>
                <w:sz w:val="20"/>
                <w:szCs w:val="20"/>
                <w:color w:val="auto"/>
              </w:rPr>
            </w:pPr>
            <w:r>
              <w:rPr>
                <w:rFonts w:ascii="Arial" w:cs="Arial" w:eastAsia="Arial" w:hAnsi="Arial"/>
                <w:sz w:val="14"/>
                <w:szCs w:val="14"/>
                <w:b w:val="1"/>
                <w:bCs w:val="1"/>
                <w:color w:val="FFFFFF"/>
              </w:rPr>
              <w:t>(b)</w:t>
            </w:r>
          </w:p>
        </w:tc>
        <w:tc>
          <w:tcPr>
            <w:tcW w:w="880" w:type="dxa"/>
            <w:vAlign w:val="bottom"/>
            <w:tcBorders>
              <w:right w:val="single" w:sz="8" w:color="47829E"/>
            </w:tcBorders>
            <w:shd w:val="clear" w:color="auto" w:fill="47829E"/>
          </w:tcPr>
          <w:p>
            <w:pPr>
              <w:jc w:val="right"/>
              <w:ind w:right="312"/>
              <w:spacing w:after="0"/>
              <w:rPr>
                <w:sz w:val="20"/>
                <w:szCs w:val="20"/>
                <w:color w:val="auto"/>
              </w:rPr>
            </w:pPr>
            <w:r>
              <w:rPr>
                <w:rFonts w:ascii="Arial" w:cs="Arial" w:eastAsia="Arial" w:hAnsi="Arial"/>
                <w:sz w:val="14"/>
                <w:szCs w:val="14"/>
                <w:b w:val="1"/>
                <w:bCs w:val="1"/>
                <w:color w:val="FFFFFF"/>
              </w:rPr>
              <w:t>(c)</w:t>
            </w:r>
          </w:p>
        </w:tc>
        <w:tc>
          <w:tcPr>
            <w:tcW w:w="880" w:type="dxa"/>
            <w:vAlign w:val="bottom"/>
            <w:tcBorders>
              <w:right w:val="single" w:sz="8" w:color="47829E"/>
            </w:tcBorders>
            <w:shd w:val="clear" w:color="auto" w:fill="47829E"/>
          </w:tcPr>
          <w:p>
            <w:pPr>
              <w:ind w:left="320"/>
              <w:spacing w:after="0"/>
              <w:rPr>
                <w:sz w:val="20"/>
                <w:szCs w:val="20"/>
                <w:color w:val="auto"/>
              </w:rPr>
            </w:pPr>
            <w:r>
              <w:rPr>
                <w:rFonts w:ascii="Arial" w:cs="Arial" w:eastAsia="Arial" w:hAnsi="Arial"/>
                <w:sz w:val="14"/>
                <w:szCs w:val="14"/>
                <w:b w:val="1"/>
                <w:bCs w:val="1"/>
                <w:color w:val="FFFFFF"/>
              </w:rPr>
              <w:t>(d)</w:t>
            </w:r>
          </w:p>
        </w:tc>
        <w:tc>
          <w:tcPr>
            <w:tcW w:w="9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rPr>
              <w:t>(e)</w:t>
            </w:r>
          </w:p>
        </w:tc>
        <w:tc>
          <w:tcPr>
            <w:tcW w:w="9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85"/>
              </w:rPr>
              <w:t>(f)</w:t>
            </w:r>
          </w:p>
        </w:tc>
        <w:tc>
          <w:tcPr>
            <w:tcW w:w="11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rPr>
              <w:t>(g)</w:t>
            </w:r>
          </w:p>
        </w:tc>
        <w:tc>
          <w:tcPr>
            <w:tcW w:w="12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89"/>
              </w:rPr>
              <w:t>(h)</w:t>
            </w:r>
          </w:p>
        </w:tc>
        <w:tc>
          <w:tcPr>
            <w:tcW w:w="1240" w:type="dxa"/>
            <w:vAlign w:val="bottom"/>
            <w:tcBorders>
              <w:right w:val="single" w:sz="8" w:color="47829E"/>
            </w:tcBorders>
            <w:shd w:val="clear" w:color="auto" w:fill="47829E"/>
          </w:tcPr>
          <w:p>
            <w:pPr>
              <w:jc w:val="center"/>
              <w:ind w:right="13"/>
              <w:spacing w:after="0"/>
              <w:rPr>
                <w:sz w:val="20"/>
                <w:szCs w:val="20"/>
                <w:color w:val="auto"/>
              </w:rPr>
            </w:pPr>
            <w:r>
              <w:rPr>
                <w:rFonts w:ascii="Arial" w:cs="Arial" w:eastAsia="Arial" w:hAnsi="Arial"/>
                <w:sz w:val="14"/>
                <w:szCs w:val="14"/>
                <w:b w:val="1"/>
                <w:bCs w:val="1"/>
                <w:color w:val="FFFFFF"/>
                <w:w w:val="90"/>
              </w:rPr>
              <w:t>(i)</w:t>
            </w:r>
          </w:p>
        </w:tc>
        <w:tc>
          <w:tcPr>
            <w:tcW w:w="1020" w:type="dxa"/>
            <w:vAlign w:val="bottom"/>
            <w:tcBorders>
              <w:right w:val="single" w:sz="8" w:color="47829E"/>
            </w:tcBorders>
            <w:shd w:val="clear" w:color="auto" w:fill="47829E"/>
          </w:tcPr>
          <w:p>
            <w:pPr>
              <w:jc w:val="center"/>
              <w:ind w:right="112"/>
              <w:spacing w:after="0"/>
              <w:rPr>
                <w:sz w:val="20"/>
                <w:szCs w:val="20"/>
                <w:color w:val="auto"/>
              </w:rPr>
            </w:pPr>
            <w:r>
              <w:rPr>
                <w:rFonts w:ascii="Arial" w:cs="Arial" w:eastAsia="Arial" w:hAnsi="Arial"/>
                <w:sz w:val="14"/>
                <w:szCs w:val="14"/>
                <w:b w:val="1"/>
                <w:bCs w:val="1"/>
                <w:color w:val="FFFFFF"/>
                <w:w w:val="90"/>
              </w:rPr>
              <w:t>(j)</w:t>
            </w:r>
          </w:p>
        </w:tc>
      </w:tr>
      <w:tr>
        <w:trPr>
          <w:trHeight w:val="256"/>
        </w:trPr>
        <w:tc>
          <w:tcPr>
            <w:tcW w:w="2600" w:type="dxa"/>
            <w:vAlign w:val="bottom"/>
            <w:tcBorders>
              <w:left w:val="single" w:sz="8" w:color="47829E"/>
              <w:right w:val="single" w:sz="8" w:color="47829E"/>
            </w:tcBorders>
          </w:tcPr>
          <w:p>
            <w:pPr>
              <w:ind w:left="120"/>
              <w:spacing w:after="0"/>
              <w:rPr>
                <w:sz w:val="20"/>
                <w:szCs w:val="20"/>
                <w:color w:val="auto"/>
              </w:rPr>
            </w:pPr>
            <w:r>
              <w:rPr>
                <w:rFonts w:ascii="Arial" w:cs="Arial" w:eastAsia="Arial" w:hAnsi="Arial"/>
                <w:sz w:val="14"/>
                <w:szCs w:val="14"/>
                <w:b w:val="1"/>
                <w:bCs w:val="1"/>
                <w:color w:val="auto"/>
              </w:rPr>
              <w:t>C. Howard Nye</w:t>
            </w:r>
          </w:p>
        </w:tc>
        <w:tc>
          <w:tcPr>
            <w:tcW w:w="580" w:type="dxa"/>
            <w:vAlign w:val="bottom"/>
            <w:tcBorders>
              <w:right w:val="single" w:sz="8" w:color="47829E"/>
            </w:tcBorders>
          </w:tcPr>
          <w:p>
            <w:pPr>
              <w:ind w:left="180"/>
              <w:spacing w:after="0"/>
              <w:rPr>
                <w:sz w:val="20"/>
                <w:szCs w:val="20"/>
                <w:color w:val="auto"/>
              </w:rPr>
            </w:pPr>
            <w:r>
              <w:rPr>
                <w:rFonts w:ascii="Arial" w:cs="Arial" w:eastAsia="Arial" w:hAnsi="Arial"/>
                <w:sz w:val="14"/>
                <w:szCs w:val="14"/>
                <w:color w:val="auto"/>
              </w:rPr>
              <w:t>2014</w:t>
            </w:r>
          </w:p>
        </w:tc>
        <w:tc>
          <w:tcPr>
            <w:tcW w:w="88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928,755</w:t>
            </w:r>
          </w:p>
        </w:tc>
        <w:tc>
          <w:tcPr>
            <w:tcW w:w="880" w:type="dxa"/>
            <w:vAlign w:val="bottom"/>
            <w:tcBorders>
              <w:right w:val="single" w:sz="8" w:color="47829E"/>
            </w:tcBorders>
          </w:tcPr>
          <w:p>
            <w:pPr>
              <w:ind w:left="280"/>
              <w:spacing w:after="0"/>
              <w:rPr>
                <w:sz w:val="20"/>
                <w:szCs w:val="20"/>
                <w:color w:val="auto"/>
              </w:rPr>
            </w:pPr>
            <w:r>
              <w:rPr>
                <w:rFonts w:ascii="Arial" w:cs="Arial" w:eastAsia="Arial" w:hAnsi="Arial"/>
                <w:sz w:val="14"/>
                <w:szCs w:val="14"/>
                <w:color w:val="auto"/>
              </w:rPr>
              <w:t>715,000</w:t>
            </w:r>
          </w:p>
        </w:tc>
        <w:tc>
          <w:tcPr>
            <w:tcW w:w="920" w:type="dxa"/>
            <w:vAlign w:val="bottom"/>
            <w:tcBorders>
              <w:right w:val="single" w:sz="8" w:color="47829E"/>
            </w:tcBorders>
          </w:tcPr>
          <w:p>
            <w:pPr>
              <w:jc w:val="right"/>
              <w:ind w:right="33"/>
              <w:spacing w:after="0"/>
              <w:rPr>
                <w:sz w:val="20"/>
                <w:szCs w:val="20"/>
                <w:color w:val="auto"/>
              </w:rPr>
            </w:pPr>
            <w:r>
              <w:rPr>
                <w:rFonts w:ascii="Arial" w:cs="Arial" w:eastAsia="Arial" w:hAnsi="Arial"/>
                <w:sz w:val="14"/>
                <w:szCs w:val="14"/>
                <w:color w:val="auto"/>
              </w:rPr>
              <w:t>4,418,415</w:t>
            </w:r>
          </w:p>
        </w:tc>
        <w:tc>
          <w:tcPr>
            <w:tcW w:w="940" w:type="dxa"/>
            <w:vAlign w:val="bottom"/>
            <w:tcBorders>
              <w:right w:val="single" w:sz="8" w:color="47829E"/>
            </w:tcBorders>
          </w:tcPr>
          <w:p>
            <w:pPr>
              <w:jc w:val="right"/>
              <w:ind w:right="33"/>
              <w:spacing w:after="0"/>
              <w:rPr>
                <w:sz w:val="20"/>
                <w:szCs w:val="20"/>
                <w:color w:val="auto"/>
              </w:rPr>
            </w:pPr>
            <w:r>
              <w:rPr>
                <w:rFonts w:ascii="Arial" w:cs="Arial" w:eastAsia="Arial" w:hAnsi="Arial"/>
                <w:sz w:val="14"/>
                <w:szCs w:val="14"/>
                <w:color w:val="auto"/>
              </w:rPr>
              <w:t>589,817</w:t>
            </w:r>
          </w:p>
        </w:tc>
        <w:tc>
          <w:tcPr>
            <w:tcW w:w="1120" w:type="dxa"/>
            <w:vAlign w:val="bottom"/>
            <w:tcBorders>
              <w:right w:val="single" w:sz="8" w:color="47829E"/>
            </w:tcBorders>
          </w:tcPr>
          <w:p>
            <w:pPr>
              <w:spacing w:after="0"/>
              <w:rPr>
                <w:sz w:val="22"/>
                <w:szCs w:val="22"/>
                <w:color w:val="auto"/>
              </w:rPr>
            </w:pPr>
          </w:p>
        </w:tc>
        <w:tc>
          <w:tcPr>
            <w:tcW w:w="1260" w:type="dxa"/>
            <w:vAlign w:val="bottom"/>
            <w:tcBorders>
              <w:right w:val="single" w:sz="8" w:color="47829E"/>
            </w:tcBorders>
          </w:tcPr>
          <w:p>
            <w:pPr>
              <w:jc w:val="right"/>
              <w:ind w:right="33"/>
              <w:spacing w:after="0"/>
              <w:rPr>
                <w:sz w:val="20"/>
                <w:szCs w:val="20"/>
                <w:color w:val="auto"/>
              </w:rPr>
            </w:pPr>
            <w:r>
              <w:rPr>
                <w:rFonts w:ascii="Arial" w:cs="Arial" w:eastAsia="Arial" w:hAnsi="Arial"/>
                <w:sz w:val="14"/>
                <w:szCs w:val="14"/>
                <w:color w:val="auto"/>
              </w:rPr>
              <w:t>710,125</w:t>
            </w:r>
          </w:p>
        </w:tc>
        <w:tc>
          <w:tcPr>
            <w:tcW w:w="1240" w:type="dxa"/>
            <w:vAlign w:val="bottom"/>
            <w:tcBorders>
              <w:right w:val="single" w:sz="8" w:color="47829E"/>
            </w:tcBorders>
          </w:tcPr>
          <w:p>
            <w:pPr>
              <w:jc w:val="right"/>
              <w:ind w:right="33"/>
              <w:spacing w:after="0"/>
              <w:rPr>
                <w:sz w:val="20"/>
                <w:szCs w:val="20"/>
                <w:color w:val="auto"/>
              </w:rPr>
            </w:pPr>
            <w:r>
              <w:rPr>
                <w:rFonts w:ascii="Arial" w:cs="Arial" w:eastAsia="Arial" w:hAnsi="Arial"/>
                <w:sz w:val="14"/>
                <w:szCs w:val="14"/>
                <w:color w:val="auto"/>
              </w:rPr>
              <w:t>241,092</w:t>
            </w:r>
          </w:p>
        </w:tc>
        <w:tc>
          <w:tcPr>
            <w:tcW w:w="1020" w:type="dxa"/>
            <w:vAlign w:val="bottom"/>
            <w:tcBorders>
              <w:right w:val="single" w:sz="8" w:color="47829E"/>
            </w:tcBorders>
          </w:tcPr>
          <w:p>
            <w:pPr>
              <w:jc w:val="right"/>
              <w:ind w:right="132"/>
              <w:spacing w:after="0"/>
              <w:rPr>
                <w:sz w:val="20"/>
                <w:szCs w:val="20"/>
                <w:color w:val="auto"/>
              </w:rPr>
            </w:pPr>
            <w:r>
              <w:rPr>
                <w:rFonts w:ascii="Arial" w:cs="Arial" w:eastAsia="Arial" w:hAnsi="Arial"/>
                <w:sz w:val="14"/>
                <w:szCs w:val="14"/>
                <w:color w:val="auto"/>
              </w:rPr>
              <w:t>7,603,204</w:t>
            </w:r>
          </w:p>
        </w:tc>
      </w:tr>
      <w:tr>
        <w:trPr>
          <w:trHeight w:val="149"/>
        </w:trPr>
        <w:tc>
          <w:tcPr>
            <w:tcW w:w="2600" w:type="dxa"/>
            <w:vAlign w:val="bottom"/>
            <w:tcBorders>
              <w:left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Chairman, President</w:t>
            </w:r>
          </w:p>
        </w:tc>
        <w:tc>
          <w:tcPr>
            <w:tcW w:w="580" w:type="dxa"/>
            <w:vAlign w:val="bottom"/>
            <w:tcBorders>
              <w:right w:val="single" w:sz="8" w:color="47829E"/>
            </w:tcBorders>
          </w:tcPr>
          <w:p>
            <w:pPr>
              <w:ind w:left="180"/>
              <w:spacing w:after="0" w:line="149" w:lineRule="exact"/>
              <w:rPr>
                <w:sz w:val="20"/>
                <w:szCs w:val="20"/>
                <w:color w:val="auto"/>
              </w:rPr>
            </w:pPr>
            <w:r>
              <w:rPr>
                <w:rFonts w:ascii="Arial" w:cs="Arial" w:eastAsia="Arial" w:hAnsi="Arial"/>
                <w:sz w:val="14"/>
                <w:szCs w:val="14"/>
                <w:color w:val="auto"/>
              </w:rPr>
              <w:t>2013</w:t>
            </w:r>
          </w:p>
        </w:tc>
        <w:tc>
          <w:tcPr>
            <w:tcW w:w="88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875,000</w:t>
            </w:r>
          </w:p>
        </w:tc>
        <w:tc>
          <w:tcPr>
            <w:tcW w:w="880" w:type="dxa"/>
            <w:vAlign w:val="bottom"/>
            <w:tcBorders>
              <w:right w:val="single" w:sz="8" w:color="47829E"/>
            </w:tcBorders>
          </w:tcPr>
          <w:p>
            <w:pPr>
              <w:ind w:left="280"/>
              <w:spacing w:after="0" w:line="149" w:lineRule="exact"/>
              <w:rPr>
                <w:sz w:val="20"/>
                <w:szCs w:val="20"/>
                <w:color w:val="auto"/>
              </w:rPr>
            </w:pPr>
            <w:r>
              <w:rPr>
                <w:rFonts w:ascii="Arial" w:cs="Arial" w:eastAsia="Arial" w:hAnsi="Arial"/>
                <w:sz w:val="14"/>
                <w:szCs w:val="14"/>
                <w:color w:val="auto"/>
              </w:rPr>
              <w:t>455,000</w:t>
            </w:r>
          </w:p>
        </w:tc>
        <w:tc>
          <w:tcPr>
            <w:tcW w:w="92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1,028,441</w:t>
            </w:r>
          </w:p>
        </w:tc>
        <w:tc>
          <w:tcPr>
            <w:tcW w:w="94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528,048</w:t>
            </w:r>
          </w:p>
        </w:tc>
        <w:tc>
          <w:tcPr>
            <w:tcW w:w="1120" w:type="dxa"/>
            <w:vAlign w:val="bottom"/>
            <w:tcBorders>
              <w:right w:val="single" w:sz="8" w:color="47829E"/>
            </w:tcBorders>
          </w:tcPr>
          <w:p>
            <w:pPr>
              <w:spacing w:after="0"/>
              <w:rPr>
                <w:sz w:val="12"/>
                <w:szCs w:val="12"/>
                <w:color w:val="auto"/>
              </w:rPr>
            </w:pPr>
          </w:p>
        </w:tc>
        <w:tc>
          <w:tcPr>
            <w:tcW w:w="126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48,860</w:t>
            </w:r>
          </w:p>
        </w:tc>
        <w:tc>
          <w:tcPr>
            <w:tcW w:w="124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166,959</w:t>
            </w:r>
          </w:p>
        </w:tc>
        <w:tc>
          <w:tcPr>
            <w:tcW w:w="102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3,102,308</w:t>
            </w:r>
          </w:p>
        </w:tc>
      </w:tr>
      <w:tr>
        <w:trPr>
          <w:trHeight w:val="149"/>
        </w:trPr>
        <w:tc>
          <w:tcPr>
            <w:tcW w:w="2600" w:type="dxa"/>
            <w:vAlign w:val="bottom"/>
            <w:tcBorders>
              <w:left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and CEO</w:t>
            </w:r>
          </w:p>
        </w:tc>
        <w:tc>
          <w:tcPr>
            <w:tcW w:w="580" w:type="dxa"/>
            <w:vAlign w:val="bottom"/>
            <w:tcBorders>
              <w:right w:val="single" w:sz="8" w:color="47829E"/>
            </w:tcBorders>
          </w:tcPr>
          <w:p>
            <w:pPr>
              <w:ind w:left="180"/>
              <w:spacing w:after="0" w:line="149" w:lineRule="exact"/>
              <w:rPr>
                <w:sz w:val="20"/>
                <w:szCs w:val="20"/>
                <w:color w:val="auto"/>
              </w:rPr>
            </w:pPr>
            <w:r>
              <w:rPr>
                <w:rFonts w:ascii="Arial" w:cs="Arial" w:eastAsia="Arial" w:hAnsi="Arial"/>
                <w:sz w:val="14"/>
                <w:szCs w:val="14"/>
                <w:color w:val="auto"/>
              </w:rPr>
              <w:t>2012</w:t>
            </w:r>
          </w:p>
        </w:tc>
        <w:tc>
          <w:tcPr>
            <w:tcW w:w="88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850,000</w:t>
            </w:r>
          </w:p>
        </w:tc>
        <w:tc>
          <w:tcPr>
            <w:tcW w:w="880" w:type="dxa"/>
            <w:vAlign w:val="bottom"/>
            <w:tcBorders>
              <w:right w:val="single" w:sz="8" w:color="47829E"/>
            </w:tcBorders>
          </w:tcPr>
          <w:p>
            <w:pPr>
              <w:ind w:left="280"/>
              <w:spacing w:after="0" w:line="149" w:lineRule="exact"/>
              <w:rPr>
                <w:sz w:val="20"/>
                <w:szCs w:val="20"/>
                <w:color w:val="auto"/>
              </w:rPr>
            </w:pPr>
            <w:r>
              <w:rPr>
                <w:rFonts w:ascii="Arial" w:cs="Arial" w:eastAsia="Arial" w:hAnsi="Arial"/>
                <w:sz w:val="14"/>
                <w:szCs w:val="14"/>
                <w:color w:val="auto"/>
              </w:rPr>
              <w:t>390,000</w:t>
            </w:r>
          </w:p>
        </w:tc>
        <w:tc>
          <w:tcPr>
            <w:tcW w:w="92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773,950</w:t>
            </w:r>
          </w:p>
        </w:tc>
        <w:tc>
          <w:tcPr>
            <w:tcW w:w="94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363,543</w:t>
            </w:r>
          </w:p>
        </w:tc>
        <w:tc>
          <w:tcPr>
            <w:tcW w:w="1120" w:type="dxa"/>
            <w:vAlign w:val="bottom"/>
            <w:tcBorders>
              <w:right w:val="single" w:sz="8" w:color="47829E"/>
            </w:tcBorders>
          </w:tcPr>
          <w:p>
            <w:pPr>
              <w:spacing w:after="0"/>
              <w:rPr>
                <w:sz w:val="12"/>
                <w:szCs w:val="12"/>
                <w:color w:val="auto"/>
              </w:rPr>
            </w:pPr>
          </w:p>
        </w:tc>
        <w:tc>
          <w:tcPr>
            <w:tcW w:w="126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520,648</w:t>
            </w:r>
          </w:p>
        </w:tc>
        <w:tc>
          <w:tcPr>
            <w:tcW w:w="124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128,368</w:t>
            </w:r>
          </w:p>
        </w:tc>
        <w:tc>
          <w:tcPr>
            <w:tcW w:w="102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3,026,509</w:t>
            </w:r>
          </w:p>
        </w:tc>
      </w:tr>
      <w:tr>
        <w:trPr>
          <w:trHeight w:val="256"/>
        </w:trPr>
        <w:tc>
          <w:tcPr>
            <w:tcW w:w="2600" w:type="dxa"/>
            <w:vAlign w:val="bottom"/>
            <w:tcBorders>
              <w:left w:val="single" w:sz="8" w:color="47829E"/>
              <w:right w:val="single" w:sz="8" w:color="47829E"/>
            </w:tcBorders>
            <w:shd w:val="clear" w:color="auto" w:fill="E3ECF0"/>
          </w:tcPr>
          <w:p>
            <w:pPr>
              <w:ind w:left="120"/>
              <w:spacing w:after="0"/>
              <w:rPr>
                <w:sz w:val="20"/>
                <w:szCs w:val="20"/>
                <w:color w:val="auto"/>
              </w:rPr>
            </w:pPr>
            <w:r>
              <w:rPr>
                <w:rFonts w:ascii="Arial" w:cs="Arial" w:eastAsia="Arial" w:hAnsi="Arial"/>
                <w:sz w:val="14"/>
                <w:szCs w:val="14"/>
                <w:b w:val="1"/>
                <w:bCs w:val="1"/>
                <w:color w:val="auto"/>
              </w:rPr>
              <w:t>Anne H. Lloyd</w:t>
            </w:r>
          </w:p>
        </w:tc>
        <w:tc>
          <w:tcPr>
            <w:tcW w:w="580" w:type="dxa"/>
            <w:vAlign w:val="bottom"/>
            <w:tcBorders>
              <w:right w:val="single" w:sz="8" w:color="47829E"/>
            </w:tcBorders>
            <w:shd w:val="clear" w:color="auto" w:fill="E3ECF0"/>
          </w:tcPr>
          <w:p>
            <w:pPr>
              <w:ind w:left="180"/>
              <w:spacing w:after="0"/>
              <w:rPr>
                <w:sz w:val="20"/>
                <w:szCs w:val="20"/>
                <w:color w:val="auto"/>
              </w:rPr>
            </w:pPr>
            <w:r>
              <w:rPr>
                <w:rFonts w:ascii="Arial" w:cs="Arial" w:eastAsia="Arial" w:hAnsi="Arial"/>
                <w:sz w:val="14"/>
                <w:szCs w:val="14"/>
                <w:color w:val="auto"/>
              </w:rPr>
              <w:t>2014</w:t>
            </w:r>
          </w:p>
        </w:tc>
        <w:tc>
          <w:tcPr>
            <w:tcW w:w="880" w:type="dxa"/>
            <w:vAlign w:val="bottom"/>
            <w:tcBorders>
              <w:right w:val="single" w:sz="8" w:color="47829E"/>
            </w:tcBorders>
            <w:shd w:val="clear" w:color="auto" w:fill="E3ECF0"/>
          </w:tcPr>
          <w:p>
            <w:pPr>
              <w:jc w:val="right"/>
              <w:ind w:right="32"/>
              <w:spacing w:after="0"/>
              <w:rPr>
                <w:sz w:val="20"/>
                <w:szCs w:val="20"/>
                <w:color w:val="auto"/>
              </w:rPr>
            </w:pPr>
            <w:r>
              <w:rPr>
                <w:rFonts w:ascii="Arial" w:cs="Arial" w:eastAsia="Arial" w:hAnsi="Arial"/>
                <w:sz w:val="14"/>
                <w:szCs w:val="14"/>
                <w:color w:val="auto"/>
              </w:rPr>
              <w:t>510,775</w:t>
            </w:r>
          </w:p>
        </w:tc>
        <w:tc>
          <w:tcPr>
            <w:tcW w:w="880" w:type="dxa"/>
            <w:vAlign w:val="bottom"/>
            <w:tcBorders>
              <w:right w:val="single" w:sz="8" w:color="47829E"/>
            </w:tcBorders>
            <w:shd w:val="clear" w:color="auto" w:fill="E3ECF0"/>
          </w:tcPr>
          <w:p>
            <w:pPr>
              <w:ind w:left="280"/>
              <w:spacing w:after="0"/>
              <w:rPr>
                <w:sz w:val="20"/>
                <w:szCs w:val="20"/>
                <w:color w:val="auto"/>
              </w:rPr>
            </w:pPr>
            <w:r>
              <w:rPr>
                <w:rFonts w:ascii="Arial" w:cs="Arial" w:eastAsia="Arial" w:hAnsi="Arial"/>
                <w:sz w:val="14"/>
                <w:szCs w:val="14"/>
                <w:color w:val="auto"/>
              </w:rPr>
              <w:t>407,280</w:t>
            </w:r>
          </w:p>
        </w:tc>
        <w:tc>
          <w:tcPr>
            <w:tcW w:w="920" w:type="dxa"/>
            <w:vAlign w:val="bottom"/>
            <w:tcBorders>
              <w:right w:val="single" w:sz="8" w:color="47829E"/>
            </w:tcBorders>
            <w:shd w:val="clear" w:color="auto" w:fill="E3ECF0"/>
          </w:tcPr>
          <w:p>
            <w:pPr>
              <w:jc w:val="right"/>
              <w:ind w:right="33"/>
              <w:spacing w:after="0"/>
              <w:rPr>
                <w:sz w:val="20"/>
                <w:szCs w:val="20"/>
                <w:color w:val="auto"/>
              </w:rPr>
            </w:pPr>
            <w:r>
              <w:rPr>
                <w:rFonts w:ascii="Arial" w:cs="Arial" w:eastAsia="Arial" w:hAnsi="Arial"/>
                <w:sz w:val="14"/>
                <w:szCs w:val="14"/>
                <w:color w:val="auto"/>
              </w:rPr>
              <w:t>2,093,845</w:t>
            </w:r>
          </w:p>
        </w:tc>
        <w:tc>
          <w:tcPr>
            <w:tcW w:w="940" w:type="dxa"/>
            <w:vAlign w:val="bottom"/>
            <w:tcBorders>
              <w:right w:val="single" w:sz="8" w:color="47829E"/>
            </w:tcBorders>
            <w:shd w:val="clear" w:color="auto" w:fill="E3ECF0"/>
          </w:tcPr>
          <w:p>
            <w:pPr>
              <w:jc w:val="right"/>
              <w:ind w:right="33"/>
              <w:spacing w:after="0"/>
              <w:rPr>
                <w:sz w:val="20"/>
                <w:szCs w:val="20"/>
                <w:color w:val="auto"/>
              </w:rPr>
            </w:pPr>
            <w:r>
              <w:rPr>
                <w:rFonts w:ascii="Arial" w:cs="Arial" w:eastAsia="Arial" w:hAnsi="Arial"/>
                <w:sz w:val="14"/>
                <w:szCs w:val="14"/>
                <w:color w:val="auto"/>
              </w:rPr>
              <w:t>199,906</w:t>
            </w:r>
          </w:p>
        </w:tc>
        <w:tc>
          <w:tcPr>
            <w:tcW w:w="1120" w:type="dxa"/>
            <w:vAlign w:val="bottom"/>
            <w:tcBorders>
              <w:right w:val="single" w:sz="8" w:color="47829E"/>
            </w:tcBorders>
            <w:shd w:val="clear" w:color="auto" w:fill="E3ECF0"/>
          </w:tcPr>
          <w:p>
            <w:pPr>
              <w:spacing w:after="0"/>
              <w:rPr>
                <w:sz w:val="22"/>
                <w:szCs w:val="22"/>
                <w:color w:val="auto"/>
              </w:rPr>
            </w:pPr>
          </w:p>
        </w:tc>
        <w:tc>
          <w:tcPr>
            <w:tcW w:w="1260" w:type="dxa"/>
            <w:vAlign w:val="bottom"/>
            <w:tcBorders>
              <w:right w:val="single" w:sz="8" w:color="47829E"/>
            </w:tcBorders>
            <w:shd w:val="clear" w:color="auto" w:fill="E3ECF0"/>
          </w:tcPr>
          <w:p>
            <w:pPr>
              <w:jc w:val="right"/>
              <w:ind w:right="33"/>
              <w:spacing w:after="0"/>
              <w:rPr>
                <w:sz w:val="20"/>
                <w:szCs w:val="20"/>
                <w:color w:val="auto"/>
              </w:rPr>
            </w:pPr>
            <w:r>
              <w:rPr>
                <w:rFonts w:ascii="Arial" w:cs="Arial" w:eastAsia="Arial" w:hAnsi="Arial"/>
                <w:sz w:val="14"/>
                <w:szCs w:val="14"/>
                <w:color w:val="auto"/>
              </w:rPr>
              <w:t>604,298</w:t>
            </w:r>
          </w:p>
        </w:tc>
        <w:tc>
          <w:tcPr>
            <w:tcW w:w="1240" w:type="dxa"/>
            <w:vAlign w:val="bottom"/>
            <w:tcBorders>
              <w:right w:val="single" w:sz="8" w:color="47829E"/>
            </w:tcBorders>
            <w:shd w:val="clear" w:color="auto" w:fill="E3ECF0"/>
          </w:tcPr>
          <w:p>
            <w:pPr>
              <w:jc w:val="right"/>
              <w:ind w:right="33"/>
              <w:spacing w:after="0"/>
              <w:rPr>
                <w:sz w:val="20"/>
                <w:szCs w:val="20"/>
                <w:color w:val="auto"/>
              </w:rPr>
            </w:pPr>
            <w:r>
              <w:rPr>
                <w:rFonts w:ascii="Arial" w:cs="Arial" w:eastAsia="Arial" w:hAnsi="Arial"/>
                <w:sz w:val="14"/>
                <w:szCs w:val="14"/>
                <w:color w:val="auto"/>
              </w:rPr>
              <w:t>79,879</w:t>
            </w:r>
          </w:p>
        </w:tc>
        <w:tc>
          <w:tcPr>
            <w:tcW w:w="1020" w:type="dxa"/>
            <w:vAlign w:val="bottom"/>
            <w:tcBorders>
              <w:right w:val="single" w:sz="8" w:color="47829E"/>
            </w:tcBorders>
            <w:shd w:val="clear" w:color="auto" w:fill="E3ECF0"/>
          </w:tcPr>
          <w:p>
            <w:pPr>
              <w:jc w:val="right"/>
              <w:ind w:right="132"/>
              <w:spacing w:after="0"/>
              <w:rPr>
                <w:sz w:val="20"/>
                <w:szCs w:val="20"/>
                <w:color w:val="auto"/>
              </w:rPr>
            </w:pPr>
            <w:r>
              <w:rPr>
                <w:rFonts w:ascii="Arial" w:cs="Arial" w:eastAsia="Arial" w:hAnsi="Arial"/>
                <w:sz w:val="14"/>
                <w:szCs w:val="14"/>
                <w:color w:val="auto"/>
              </w:rPr>
              <w:t>3,895,982</w:t>
            </w:r>
          </w:p>
        </w:tc>
      </w:tr>
      <w:tr>
        <w:trPr>
          <w:trHeight w:val="149"/>
        </w:trPr>
        <w:tc>
          <w:tcPr>
            <w:tcW w:w="2600" w:type="dxa"/>
            <w:vAlign w:val="bottom"/>
            <w:tcBorders>
              <w:left w:val="single" w:sz="8" w:color="47829E"/>
              <w:right w:val="single" w:sz="8" w:color="47829E"/>
            </w:tcBorders>
            <w:shd w:val="clear" w:color="auto" w:fill="E3ECF0"/>
          </w:tcPr>
          <w:p>
            <w:pPr>
              <w:ind w:left="120"/>
              <w:spacing w:after="0" w:line="149" w:lineRule="exact"/>
              <w:rPr>
                <w:sz w:val="20"/>
                <w:szCs w:val="20"/>
                <w:color w:val="auto"/>
              </w:rPr>
            </w:pPr>
            <w:r>
              <w:rPr>
                <w:rFonts w:ascii="Arial" w:cs="Arial" w:eastAsia="Arial" w:hAnsi="Arial"/>
                <w:sz w:val="14"/>
                <w:szCs w:val="14"/>
                <w:color w:val="auto"/>
              </w:rPr>
              <w:t>Executive Vice</w:t>
            </w:r>
          </w:p>
        </w:tc>
        <w:tc>
          <w:tcPr>
            <w:tcW w:w="580" w:type="dxa"/>
            <w:vAlign w:val="bottom"/>
            <w:tcBorders>
              <w:right w:val="single" w:sz="8" w:color="47829E"/>
            </w:tcBorders>
            <w:shd w:val="clear" w:color="auto" w:fill="E3ECF0"/>
          </w:tcPr>
          <w:p>
            <w:pPr>
              <w:ind w:left="180"/>
              <w:spacing w:after="0" w:line="149" w:lineRule="exact"/>
              <w:rPr>
                <w:sz w:val="20"/>
                <w:szCs w:val="20"/>
                <w:color w:val="auto"/>
              </w:rPr>
            </w:pPr>
            <w:r>
              <w:rPr>
                <w:rFonts w:ascii="Arial" w:cs="Arial" w:eastAsia="Arial" w:hAnsi="Arial"/>
                <w:sz w:val="14"/>
                <w:szCs w:val="14"/>
                <w:color w:val="auto"/>
              </w:rPr>
              <w:t>2013</w:t>
            </w:r>
          </w:p>
        </w:tc>
        <w:tc>
          <w:tcPr>
            <w:tcW w:w="88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495,400</w:t>
            </w:r>
          </w:p>
        </w:tc>
        <w:tc>
          <w:tcPr>
            <w:tcW w:w="880" w:type="dxa"/>
            <w:vAlign w:val="bottom"/>
            <w:tcBorders>
              <w:right w:val="single" w:sz="8" w:color="47829E"/>
            </w:tcBorders>
            <w:shd w:val="clear" w:color="auto" w:fill="E3ECF0"/>
          </w:tcPr>
          <w:p>
            <w:pPr>
              <w:ind w:left="280"/>
              <w:spacing w:after="0" w:line="149" w:lineRule="exact"/>
              <w:rPr>
                <w:sz w:val="20"/>
                <w:szCs w:val="20"/>
                <w:color w:val="auto"/>
              </w:rPr>
            </w:pPr>
            <w:r>
              <w:rPr>
                <w:rFonts w:ascii="Arial" w:cs="Arial" w:eastAsia="Arial" w:hAnsi="Arial"/>
                <w:sz w:val="14"/>
                <w:szCs w:val="14"/>
                <w:color w:val="auto"/>
              </w:rPr>
              <w:t>261,600</w:t>
            </w:r>
          </w:p>
        </w:tc>
        <w:tc>
          <w:tcPr>
            <w:tcW w:w="92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330,913</w:t>
            </w:r>
          </w:p>
        </w:tc>
        <w:tc>
          <w:tcPr>
            <w:tcW w:w="94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178,934</w:t>
            </w:r>
          </w:p>
        </w:tc>
        <w:tc>
          <w:tcPr>
            <w:tcW w:w="1120" w:type="dxa"/>
            <w:vAlign w:val="bottom"/>
            <w:tcBorders>
              <w:right w:val="single" w:sz="8" w:color="47829E"/>
            </w:tcBorders>
            <w:shd w:val="clear" w:color="auto" w:fill="E3ECF0"/>
          </w:tcPr>
          <w:p>
            <w:pPr>
              <w:spacing w:after="0"/>
              <w:rPr>
                <w:sz w:val="12"/>
                <w:szCs w:val="12"/>
                <w:color w:val="auto"/>
              </w:rPr>
            </w:pPr>
          </w:p>
        </w:tc>
        <w:tc>
          <w:tcPr>
            <w:tcW w:w="1260" w:type="dxa"/>
            <w:vAlign w:val="bottom"/>
            <w:tcBorders>
              <w:right w:val="single" w:sz="8" w:color="47829E"/>
            </w:tcBorders>
            <w:shd w:val="clear" w:color="auto" w:fill="E3ECF0"/>
          </w:tcPr>
          <w:p>
            <w:pPr>
              <w:spacing w:after="0"/>
              <w:rPr>
                <w:sz w:val="12"/>
                <w:szCs w:val="12"/>
                <w:color w:val="auto"/>
              </w:rPr>
            </w:pPr>
          </w:p>
        </w:tc>
        <w:tc>
          <w:tcPr>
            <w:tcW w:w="124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61,901</w:t>
            </w:r>
          </w:p>
        </w:tc>
        <w:tc>
          <w:tcPr>
            <w:tcW w:w="1020" w:type="dxa"/>
            <w:vAlign w:val="bottom"/>
            <w:tcBorders>
              <w:right w:val="single" w:sz="8" w:color="47829E"/>
            </w:tcBorders>
            <w:shd w:val="clear" w:color="auto" w:fill="E3ECF0"/>
          </w:tcPr>
          <w:p>
            <w:pPr>
              <w:jc w:val="right"/>
              <w:ind w:right="132"/>
              <w:spacing w:after="0" w:line="149" w:lineRule="exact"/>
              <w:rPr>
                <w:sz w:val="20"/>
                <w:szCs w:val="20"/>
                <w:color w:val="auto"/>
              </w:rPr>
            </w:pPr>
            <w:r>
              <w:rPr>
                <w:rFonts w:ascii="Arial" w:cs="Arial" w:eastAsia="Arial" w:hAnsi="Arial"/>
                <w:sz w:val="14"/>
                <w:szCs w:val="14"/>
                <w:color w:val="auto"/>
              </w:rPr>
              <w:t>1,328,748</w:t>
            </w:r>
          </w:p>
        </w:tc>
      </w:tr>
      <w:tr>
        <w:trPr>
          <w:trHeight w:val="149"/>
        </w:trPr>
        <w:tc>
          <w:tcPr>
            <w:tcW w:w="2600" w:type="dxa"/>
            <w:vAlign w:val="bottom"/>
            <w:tcBorders>
              <w:left w:val="single" w:sz="8" w:color="47829E"/>
              <w:right w:val="single" w:sz="8" w:color="47829E"/>
            </w:tcBorders>
            <w:shd w:val="clear" w:color="auto" w:fill="E3ECF0"/>
          </w:tcPr>
          <w:p>
            <w:pPr>
              <w:ind w:left="120"/>
              <w:spacing w:after="0" w:line="149" w:lineRule="exact"/>
              <w:rPr>
                <w:sz w:val="20"/>
                <w:szCs w:val="20"/>
                <w:color w:val="auto"/>
              </w:rPr>
            </w:pPr>
            <w:r>
              <w:rPr>
                <w:rFonts w:ascii="Arial" w:cs="Arial" w:eastAsia="Arial" w:hAnsi="Arial"/>
                <w:sz w:val="14"/>
                <w:szCs w:val="14"/>
                <w:color w:val="auto"/>
              </w:rPr>
              <w:t>President and CFO</w:t>
            </w:r>
          </w:p>
        </w:tc>
        <w:tc>
          <w:tcPr>
            <w:tcW w:w="580" w:type="dxa"/>
            <w:vAlign w:val="bottom"/>
            <w:tcBorders>
              <w:right w:val="single" w:sz="8" w:color="47829E"/>
            </w:tcBorders>
            <w:shd w:val="clear" w:color="auto" w:fill="E3ECF0"/>
          </w:tcPr>
          <w:p>
            <w:pPr>
              <w:ind w:left="180"/>
              <w:spacing w:after="0" w:line="149" w:lineRule="exact"/>
              <w:rPr>
                <w:sz w:val="20"/>
                <w:szCs w:val="20"/>
                <w:color w:val="auto"/>
              </w:rPr>
            </w:pPr>
            <w:r>
              <w:rPr>
                <w:rFonts w:ascii="Arial" w:cs="Arial" w:eastAsia="Arial" w:hAnsi="Arial"/>
                <w:sz w:val="14"/>
                <w:szCs w:val="14"/>
                <w:color w:val="auto"/>
              </w:rPr>
              <w:t>2012</w:t>
            </w:r>
          </w:p>
        </w:tc>
        <w:tc>
          <w:tcPr>
            <w:tcW w:w="88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481,067</w:t>
            </w:r>
          </w:p>
        </w:tc>
        <w:tc>
          <w:tcPr>
            <w:tcW w:w="880" w:type="dxa"/>
            <w:vAlign w:val="bottom"/>
            <w:tcBorders>
              <w:right w:val="single" w:sz="8" w:color="47829E"/>
            </w:tcBorders>
            <w:shd w:val="clear" w:color="auto" w:fill="E3ECF0"/>
          </w:tcPr>
          <w:p>
            <w:pPr>
              <w:ind w:left="280"/>
              <w:spacing w:after="0" w:line="149" w:lineRule="exact"/>
              <w:rPr>
                <w:sz w:val="20"/>
                <w:szCs w:val="20"/>
                <w:color w:val="auto"/>
              </w:rPr>
            </w:pPr>
            <w:r>
              <w:rPr>
                <w:rFonts w:ascii="Arial" w:cs="Arial" w:eastAsia="Arial" w:hAnsi="Arial"/>
                <w:sz w:val="14"/>
                <w:szCs w:val="14"/>
                <w:color w:val="auto"/>
              </w:rPr>
              <w:t>232,451</w:t>
            </w:r>
          </w:p>
        </w:tc>
        <w:tc>
          <w:tcPr>
            <w:tcW w:w="92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249,230</w:t>
            </w:r>
          </w:p>
        </w:tc>
        <w:tc>
          <w:tcPr>
            <w:tcW w:w="94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123,208</w:t>
            </w:r>
          </w:p>
        </w:tc>
        <w:tc>
          <w:tcPr>
            <w:tcW w:w="1120" w:type="dxa"/>
            <w:vAlign w:val="bottom"/>
            <w:tcBorders>
              <w:right w:val="single" w:sz="8" w:color="47829E"/>
            </w:tcBorders>
            <w:shd w:val="clear" w:color="auto" w:fill="E3ECF0"/>
          </w:tcPr>
          <w:p>
            <w:pPr>
              <w:spacing w:after="0"/>
              <w:rPr>
                <w:sz w:val="12"/>
                <w:szCs w:val="12"/>
                <w:color w:val="auto"/>
              </w:rPr>
            </w:pPr>
          </w:p>
        </w:tc>
        <w:tc>
          <w:tcPr>
            <w:tcW w:w="126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445,594</w:t>
            </w:r>
          </w:p>
        </w:tc>
        <w:tc>
          <w:tcPr>
            <w:tcW w:w="124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59,331</w:t>
            </w:r>
          </w:p>
        </w:tc>
        <w:tc>
          <w:tcPr>
            <w:tcW w:w="1020" w:type="dxa"/>
            <w:vAlign w:val="bottom"/>
            <w:tcBorders>
              <w:right w:val="single" w:sz="8" w:color="47829E"/>
            </w:tcBorders>
            <w:shd w:val="clear" w:color="auto" w:fill="E3ECF0"/>
          </w:tcPr>
          <w:p>
            <w:pPr>
              <w:jc w:val="right"/>
              <w:ind w:right="132"/>
              <w:spacing w:after="0" w:line="149" w:lineRule="exact"/>
              <w:rPr>
                <w:sz w:val="20"/>
                <w:szCs w:val="20"/>
                <w:color w:val="auto"/>
              </w:rPr>
            </w:pPr>
            <w:r>
              <w:rPr>
                <w:rFonts w:ascii="Arial" w:cs="Arial" w:eastAsia="Arial" w:hAnsi="Arial"/>
                <w:sz w:val="14"/>
                <w:szCs w:val="14"/>
                <w:color w:val="auto"/>
              </w:rPr>
              <w:t>1,590,881</w:t>
            </w:r>
          </w:p>
        </w:tc>
      </w:tr>
      <w:tr>
        <w:trPr>
          <w:trHeight w:val="256"/>
        </w:trPr>
        <w:tc>
          <w:tcPr>
            <w:tcW w:w="2600" w:type="dxa"/>
            <w:vAlign w:val="bottom"/>
            <w:tcBorders>
              <w:left w:val="single" w:sz="8" w:color="47829E"/>
              <w:right w:val="single" w:sz="8" w:color="47829E"/>
            </w:tcBorders>
          </w:tcPr>
          <w:p>
            <w:pPr>
              <w:ind w:left="120"/>
              <w:spacing w:after="0"/>
              <w:rPr>
                <w:sz w:val="20"/>
                <w:szCs w:val="20"/>
                <w:color w:val="auto"/>
              </w:rPr>
            </w:pPr>
            <w:r>
              <w:rPr>
                <w:rFonts w:ascii="Arial" w:cs="Arial" w:eastAsia="Arial" w:hAnsi="Arial"/>
                <w:sz w:val="14"/>
                <w:szCs w:val="14"/>
                <w:b w:val="1"/>
                <w:bCs w:val="1"/>
                <w:color w:val="auto"/>
              </w:rPr>
              <w:t>Roselyn R. Bar</w:t>
            </w:r>
          </w:p>
        </w:tc>
        <w:tc>
          <w:tcPr>
            <w:tcW w:w="580" w:type="dxa"/>
            <w:vAlign w:val="bottom"/>
            <w:tcBorders>
              <w:right w:val="single" w:sz="8" w:color="47829E"/>
            </w:tcBorders>
          </w:tcPr>
          <w:p>
            <w:pPr>
              <w:ind w:left="180"/>
              <w:spacing w:after="0"/>
              <w:rPr>
                <w:sz w:val="20"/>
                <w:szCs w:val="20"/>
                <w:color w:val="auto"/>
              </w:rPr>
            </w:pPr>
            <w:r>
              <w:rPr>
                <w:rFonts w:ascii="Arial" w:cs="Arial" w:eastAsia="Arial" w:hAnsi="Arial"/>
                <w:sz w:val="14"/>
                <w:szCs w:val="14"/>
                <w:color w:val="auto"/>
              </w:rPr>
              <w:t>2014</w:t>
            </w:r>
          </w:p>
        </w:tc>
        <w:tc>
          <w:tcPr>
            <w:tcW w:w="88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425,496</w:t>
            </w:r>
          </w:p>
        </w:tc>
        <w:tc>
          <w:tcPr>
            <w:tcW w:w="880" w:type="dxa"/>
            <w:vAlign w:val="bottom"/>
            <w:tcBorders>
              <w:right w:val="single" w:sz="8" w:color="47829E"/>
            </w:tcBorders>
          </w:tcPr>
          <w:p>
            <w:pPr>
              <w:ind w:left="280"/>
              <w:spacing w:after="0"/>
              <w:rPr>
                <w:sz w:val="20"/>
                <w:szCs w:val="20"/>
                <w:color w:val="auto"/>
              </w:rPr>
            </w:pPr>
            <w:r>
              <w:rPr>
                <w:rFonts w:ascii="Arial" w:cs="Arial" w:eastAsia="Arial" w:hAnsi="Arial"/>
                <w:sz w:val="14"/>
                <w:szCs w:val="14"/>
                <w:color w:val="auto"/>
              </w:rPr>
              <w:t>346,400</w:t>
            </w:r>
          </w:p>
        </w:tc>
        <w:tc>
          <w:tcPr>
            <w:tcW w:w="920" w:type="dxa"/>
            <w:vAlign w:val="bottom"/>
            <w:tcBorders>
              <w:right w:val="single" w:sz="8" w:color="47829E"/>
            </w:tcBorders>
          </w:tcPr>
          <w:p>
            <w:pPr>
              <w:jc w:val="right"/>
              <w:ind w:right="33"/>
              <w:spacing w:after="0"/>
              <w:rPr>
                <w:sz w:val="20"/>
                <w:szCs w:val="20"/>
                <w:color w:val="auto"/>
              </w:rPr>
            </w:pPr>
            <w:r>
              <w:rPr>
                <w:rFonts w:ascii="Arial" w:cs="Arial" w:eastAsia="Arial" w:hAnsi="Arial"/>
                <w:sz w:val="14"/>
                <w:szCs w:val="14"/>
                <w:color w:val="auto"/>
              </w:rPr>
              <w:t>1,734,847</w:t>
            </w:r>
          </w:p>
        </w:tc>
        <w:tc>
          <w:tcPr>
            <w:tcW w:w="940" w:type="dxa"/>
            <w:vAlign w:val="bottom"/>
            <w:tcBorders>
              <w:right w:val="single" w:sz="8" w:color="47829E"/>
            </w:tcBorders>
          </w:tcPr>
          <w:p>
            <w:pPr>
              <w:jc w:val="right"/>
              <w:ind w:right="33"/>
              <w:spacing w:after="0"/>
              <w:rPr>
                <w:sz w:val="20"/>
                <w:szCs w:val="20"/>
                <w:color w:val="auto"/>
              </w:rPr>
            </w:pPr>
            <w:r>
              <w:rPr>
                <w:rFonts w:ascii="Arial" w:cs="Arial" w:eastAsia="Arial" w:hAnsi="Arial"/>
                <w:sz w:val="14"/>
                <w:szCs w:val="14"/>
                <w:color w:val="auto"/>
              </w:rPr>
              <w:t>163,129</w:t>
            </w:r>
          </w:p>
        </w:tc>
        <w:tc>
          <w:tcPr>
            <w:tcW w:w="1120" w:type="dxa"/>
            <w:vAlign w:val="bottom"/>
            <w:tcBorders>
              <w:right w:val="single" w:sz="8" w:color="47829E"/>
            </w:tcBorders>
          </w:tcPr>
          <w:p>
            <w:pPr>
              <w:spacing w:after="0"/>
              <w:rPr>
                <w:sz w:val="22"/>
                <w:szCs w:val="22"/>
                <w:color w:val="auto"/>
              </w:rPr>
            </w:pPr>
          </w:p>
        </w:tc>
        <w:tc>
          <w:tcPr>
            <w:tcW w:w="1260" w:type="dxa"/>
            <w:vAlign w:val="bottom"/>
            <w:tcBorders>
              <w:right w:val="single" w:sz="8" w:color="47829E"/>
            </w:tcBorders>
          </w:tcPr>
          <w:p>
            <w:pPr>
              <w:jc w:val="right"/>
              <w:ind w:right="33"/>
              <w:spacing w:after="0"/>
              <w:rPr>
                <w:sz w:val="20"/>
                <w:szCs w:val="20"/>
                <w:color w:val="auto"/>
              </w:rPr>
            </w:pPr>
            <w:r>
              <w:rPr>
                <w:rFonts w:ascii="Arial" w:cs="Arial" w:eastAsia="Arial" w:hAnsi="Arial"/>
                <w:sz w:val="14"/>
                <w:szCs w:val="14"/>
                <w:color w:val="auto"/>
              </w:rPr>
              <w:t>591,148</w:t>
            </w:r>
          </w:p>
        </w:tc>
        <w:tc>
          <w:tcPr>
            <w:tcW w:w="1240" w:type="dxa"/>
            <w:vAlign w:val="bottom"/>
            <w:tcBorders>
              <w:right w:val="single" w:sz="8" w:color="47829E"/>
            </w:tcBorders>
          </w:tcPr>
          <w:p>
            <w:pPr>
              <w:jc w:val="right"/>
              <w:ind w:right="33"/>
              <w:spacing w:after="0"/>
              <w:rPr>
                <w:sz w:val="20"/>
                <w:szCs w:val="20"/>
                <w:color w:val="auto"/>
              </w:rPr>
            </w:pPr>
            <w:r>
              <w:rPr>
                <w:rFonts w:ascii="Arial" w:cs="Arial" w:eastAsia="Arial" w:hAnsi="Arial"/>
                <w:sz w:val="14"/>
                <w:szCs w:val="14"/>
                <w:color w:val="auto"/>
              </w:rPr>
              <w:t>69,356</w:t>
            </w:r>
          </w:p>
        </w:tc>
        <w:tc>
          <w:tcPr>
            <w:tcW w:w="1020" w:type="dxa"/>
            <w:vAlign w:val="bottom"/>
            <w:tcBorders>
              <w:right w:val="single" w:sz="8" w:color="47829E"/>
            </w:tcBorders>
          </w:tcPr>
          <w:p>
            <w:pPr>
              <w:jc w:val="right"/>
              <w:ind w:right="132"/>
              <w:spacing w:after="0"/>
              <w:rPr>
                <w:sz w:val="20"/>
                <w:szCs w:val="20"/>
                <w:color w:val="auto"/>
              </w:rPr>
            </w:pPr>
            <w:r>
              <w:rPr>
                <w:rFonts w:ascii="Arial" w:cs="Arial" w:eastAsia="Arial" w:hAnsi="Arial"/>
                <w:sz w:val="14"/>
                <w:szCs w:val="14"/>
                <w:color w:val="auto"/>
              </w:rPr>
              <w:t>3,330,376</w:t>
            </w:r>
          </w:p>
        </w:tc>
      </w:tr>
      <w:tr>
        <w:trPr>
          <w:trHeight w:val="149"/>
        </w:trPr>
        <w:tc>
          <w:tcPr>
            <w:tcW w:w="2600" w:type="dxa"/>
            <w:vAlign w:val="bottom"/>
            <w:tcBorders>
              <w:left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Senior Vice President,</w:t>
            </w:r>
          </w:p>
        </w:tc>
        <w:tc>
          <w:tcPr>
            <w:tcW w:w="580" w:type="dxa"/>
            <w:vAlign w:val="bottom"/>
            <w:tcBorders>
              <w:right w:val="single" w:sz="8" w:color="47829E"/>
            </w:tcBorders>
          </w:tcPr>
          <w:p>
            <w:pPr>
              <w:ind w:left="180"/>
              <w:spacing w:after="0" w:line="149" w:lineRule="exact"/>
              <w:rPr>
                <w:sz w:val="20"/>
                <w:szCs w:val="20"/>
                <w:color w:val="auto"/>
              </w:rPr>
            </w:pPr>
            <w:r>
              <w:rPr>
                <w:rFonts w:ascii="Arial" w:cs="Arial" w:eastAsia="Arial" w:hAnsi="Arial"/>
                <w:sz w:val="14"/>
                <w:szCs w:val="14"/>
                <w:color w:val="auto"/>
              </w:rPr>
              <w:t>2013</w:t>
            </w:r>
          </w:p>
        </w:tc>
        <w:tc>
          <w:tcPr>
            <w:tcW w:w="88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412,255</w:t>
            </w:r>
          </w:p>
        </w:tc>
        <w:tc>
          <w:tcPr>
            <w:tcW w:w="880" w:type="dxa"/>
            <w:vAlign w:val="bottom"/>
            <w:tcBorders>
              <w:right w:val="single" w:sz="8" w:color="47829E"/>
            </w:tcBorders>
          </w:tcPr>
          <w:p>
            <w:pPr>
              <w:ind w:left="280"/>
              <w:spacing w:after="0" w:line="149" w:lineRule="exact"/>
              <w:rPr>
                <w:sz w:val="20"/>
                <w:szCs w:val="20"/>
                <w:color w:val="auto"/>
              </w:rPr>
            </w:pPr>
            <w:r>
              <w:rPr>
                <w:rFonts w:ascii="Arial" w:cs="Arial" w:eastAsia="Arial" w:hAnsi="Arial"/>
                <w:sz w:val="14"/>
                <w:szCs w:val="14"/>
                <w:color w:val="auto"/>
              </w:rPr>
              <w:t>189,600</w:t>
            </w:r>
          </w:p>
        </w:tc>
        <w:tc>
          <w:tcPr>
            <w:tcW w:w="92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264,096</w:t>
            </w:r>
          </w:p>
        </w:tc>
        <w:tc>
          <w:tcPr>
            <w:tcW w:w="94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146,066</w:t>
            </w:r>
          </w:p>
        </w:tc>
        <w:tc>
          <w:tcPr>
            <w:tcW w:w="1120" w:type="dxa"/>
            <w:vAlign w:val="bottom"/>
            <w:tcBorders>
              <w:right w:val="single" w:sz="8" w:color="47829E"/>
            </w:tcBorders>
          </w:tcPr>
          <w:p>
            <w:pPr>
              <w:spacing w:after="0"/>
              <w:rPr>
                <w:sz w:val="12"/>
                <w:szCs w:val="12"/>
                <w:color w:val="auto"/>
              </w:rPr>
            </w:pPr>
          </w:p>
        </w:tc>
        <w:tc>
          <w:tcPr>
            <w:tcW w:w="1260" w:type="dxa"/>
            <w:vAlign w:val="bottom"/>
            <w:tcBorders>
              <w:right w:val="single" w:sz="8" w:color="47829E"/>
            </w:tcBorders>
          </w:tcPr>
          <w:p>
            <w:pPr>
              <w:spacing w:after="0"/>
              <w:rPr>
                <w:sz w:val="12"/>
                <w:szCs w:val="12"/>
                <w:color w:val="auto"/>
              </w:rPr>
            </w:pPr>
          </w:p>
        </w:tc>
        <w:tc>
          <w:tcPr>
            <w:tcW w:w="124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57,408</w:t>
            </w:r>
          </w:p>
        </w:tc>
        <w:tc>
          <w:tcPr>
            <w:tcW w:w="102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1,069,425</w:t>
            </w:r>
          </w:p>
        </w:tc>
      </w:tr>
      <w:tr>
        <w:trPr>
          <w:trHeight w:val="149"/>
        </w:trPr>
        <w:tc>
          <w:tcPr>
            <w:tcW w:w="2600" w:type="dxa"/>
            <w:vAlign w:val="bottom"/>
            <w:tcBorders>
              <w:left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General Counsel and</w:t>
            </w:r>
          </w:p>
        </w:tc>
        <w:tc>
          <w:tcPr>
            <w:tcW w:w="580" w:type="dxa"/>
            <w:vAlign w:val="bottom"/>
            <w:tcBorders>
              <w:right w:val="single" w:sz="8" w:color="47829E"/>
            </w:tcBorders>
          </w:tcPr>
          <w:p>
            <w:pPr>
              <w:ind w:left="180"/>
              <w:spacing w:after="0" w:line="149" w:lineRule="exact"/>
              <w:rPr>
                <w:sz w:val="20"/>
                <w:szCs w:val="20"/>
                <w:color w:val="auto"/>
              </w:rPr>
            </w:pPr>
            <w:r>
              <w:rPr>
                <w:rFonts w:ascii="Arial" w:cs="Arial" w:eastAsia="Arial" w:hAnsi="Arial"/>
                <w:sz w:val="14"/>
                <w:szCs w:val="14"/>
                <w:color w:val="auto"/>
              </w:rPr>
              <w:t>2012</w:t>
            </w:r>
          </w:p>
        </w:tc>
        <w:tc>
          <w:tcPr>
            <w:tcW w:w="88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402,619</w:t>
            </w:r>
          </w:p>
        </w:tc>
        <w:tc>
          <w:tcPr>
            <w:tcW w:w="880" w:type="dxa"/>
            <w:vAlign w:val="bottom"/>
            <w:tcBorders>
              <w:right w:val="single" w:sz="8" w:color="47829E"/>
            </w:tcBorders>
          </w:tcPr>
          <w:p>
            <w:pPr>
              <w:ind w:left="280"/>
              <w:spacing w:after="0" w:line="149" w:lineRule="exact"/>
              <w:rPr>
                <w:sz w:val="20"/>
                <w:szCs w:val="20"/>
                <w:color w:val="auto"/>
              </w:rPr>
            </w:pPr>
            <w:r>
              <w:rPr>
                <w:rFonts w:ascii="Arial" w:cs="Arial" w:eastAsia="Arial" w:hAnsi="Arial"/>
                <w:sz w:val="14"/>
                <w:szCs w:val="14"/>
                <w:color w:val="auto"/>
              </w:rPr>
              <w:t>148,808</w:t>
            </w:r>
          </w:p>
        </w:tc>
        <w:tc>
          <w:tcPr>
            <w:tcW w:w="92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193,206</w:t>
            </w:r>
          </w:p>
        </w:tc>
        <w:tc>
          <w:tcPr>
            <w:tcW w:w="94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100,550</w:t>
            </w:r>
          </w:p>
        </w:tc>
        <w:tc>
          <w:tcPr>
            <w:tcW w:w="1120" w:type="dxa"/>
            <w:vAlign w:val="bottom"/>
            <w:tcBorders>
              <w:right w:val="single" w:sz="8" w:color="47829E"/>
            </w:tcBorders>
          </w:tcPr>
          <w:p>
            <w:pPr>
              <w:spacing w:after="0"/>
              <w:rPr>
                <w:sz w:val="12"/>
                <w:szCs w:val="12"/>
                <w:color w:val="auto"/>
              </w:rPr>
            </w:pPr>
          </w:p>
        </w:tc>
        <w:tc>
          <w:tcPr>
            <w:tcW w:w="126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422,274</w:t>
            </w:r>
          </w:p>
        </w:tc>
        <w:tc>
          <w:tcPr>
            <w:tcW w:w="124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55,621</w:t>
            </w:r>
          </w:p>
        </w:tc>
        <w:tc>
          <w:tcPr>
            <w:tcW w:w="102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1,323,078</w:t>
            </w:r>
          </w:p>
        </w:tc>
      </w:tr>
      <w:tr>
        <w:trPr>
          <w:trHeight w:val="149"/>
        </w:trPr>
        <w:tc>
          <w:tcPr>
            <w:tcW w:w="2600" w:type="dxa"/>
            <w:vAlign w:val="bottom"/>
            <w:tcBorders>
              <w:left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Corporate Secretary</w:t>
            </w:r>
          </w:p>
        </w:tc>
        <w:tc>
          <w:tcPr>
            <w:tcW w:w="58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spacing w:after="0"/>
              <w:rPr>
                <w:sz w:val="12"/>
                <w:szCs w:val="12"/>
                <w:color w:val="auto"/>
              </w:rPr>
            </w:pPr>
          </w:p>
        </w:tc>
        <w:tc>
          <w:tcPr>
            <w:tcW w:w="920" w:type="dxa"/>
            <w:vAlign w:val="bottom"/>
            <w:tcBorders>
              <w:right w:val="single" w:sz="8" w:color="47829E"/>
            </w:tcBorders>
          </w:tcPr>
          <w:p>
            <w:pPr>
              <w:spacing w:after="0"/>
              <w:rPr>
                <w:sz w:val="12"/>
                <w:szCs w:val="12"/>
                <w:color w:val="auto"/>
              </w:rPr>
            </w:pPr>
          </w:p>
        </w:tc>
        <w:tc>
          <w:tcPr>
            <w:tcW w:w="940" w:type="dxa"/>
            <w:vAlign w:val="bottom"/>
            <w:tcBorders>
              <w:right w:val="single" w:sz="8" w:color="47829E"/>
            </w:tcBorders>
          </w:tcPr>
          <w:p>
            <w:pPr>
              <w:spacing w:after="0"/>
              <w:rPr>
                <w:sz w:val="12"/>
                <w:szCs w:val="12"/>
                <w:color w:val="auto"/>
              </w:rPr>
            </w:pPr>
          </w:p>
        </w:tc>
        <w:tc>
          <w:tcPr>
            <w:tcW w:w="1120" w:type="dxa"/>
            <w:vAlign w:val="bottom"/>
            <w:tcBorders>
              <w:right w:val="single" w:sz="8" w:color="47829E"/>
            </w:tcBorders>
          </w:tcPr>
          <w:p>
            <w:pPr>
              <w:spacing w:after="0"/>
              <w:rPr>
                <w:sz w:val="12"/>
                <w:szCs w:val="12"/>
                <w:color w:val="auto"/>
              </w:rPr>
            </w:pPr>
          </w:p>
        </w:tc>
        <w:tc>
          <w:tcPr>
            <w:tcW w:w="1260" w:type="dxa"/>
            <w:vAlign w:val="bottom"/>
            <w:tcBorders>
              <w:right w:val="single" w:sz="8" w:color="47829E"/>
            </w:tcBorders>
          </w:tcPr>
          <w:p>
            <w:pPr>
              <w:spacing w:after="0"/>
              <w:rPr>
                <w:sz w:val="12"/>
                <w:szCs w:val="12"/>
                <w:color w:val="auto"/>
              </w:rPr>
            </w:pPr>
          </w:p>
        </w:tc>
        <w:tc>
          <w:tcPr>
            <w:tcW w:w="1240" w:type="dxa"/>
            <w:vAlign w:val="bottom"/>
            <w:tcBorders>
              <w:right w:val="single" w:sz="8" w:color="47829E"/>
            </w:tcBorders>
          </w:tcPr>
          <w:p>
            <w:pPr>
              <w:spacing w:after="0"/>
              <w:rPr>
                <w:sz w:val="12"/>
                <w:szCs w:val="12"/>
                <w:color w:val="auto"/>
              </w:rPr>
            </w:pPr>
          </w:p>
        </w:tc>
        <w:tc>
          <w:tcPr>
            <w:tcW w:w="1020" w:type="dxa"/>
            <w:vAlign w:val="bottom"/>
            <w:tcBorders>
              <w:right w:val="single" w:sz="8" w:color="47829E"/>
            </w:tcBorders>
          </w:tcPr>
          <w:p>
            <w:pPr>
              <w:spacing w:after="0"/>
              <w:rPr>
                <w:sz w:val="12"/>
                <w:szCs w:val="12"/>
                <w:color w:val="auto"/>
              </w:rPr>
            </w:pPr>
          </w:p>
        </w:tc>
      </w:tr>
      <w:tr>
        <w:trPr>
          <w:trHeight w:val="256"/>
        </w:trPr>
        <w:tc>
          <w:tcPr>
            <w:tcW w:w="2600" w:type="dxa"/>
            <w:vAlign w:val="bottom"/>
            <w:tcBorders>
              <w:left w:val="single" w:sz="8" w:color="47829E"/>
              <w:right w:val="single" w:sz="8" w:color="47829E"/>
            </w:tcBorders>
            <w:shd w:val="clear" w:color="auto" w:fill="E3ECF0"/>
          </w:tcPr>
          <w:p>
            <w:pPr>
              <w:ind w:left="120"/>
              <w:spacing w:after="0"/>
              <w:rPr>
                <w:sz w:val="20"/>
                <w:szCs w:val="20"/>
                <w:color w:val="auto"/>
              </w:rPr>
            </w:pPr>
            <w:r>
              <w:rPr>
                <w:rFonts w:ascii="Arial" w:cs="Arial" w:eastAsia="Arial" w:hAnsi="Arial"/>
                <w:sz w:val="14"/>
                <w:szCs w:val="14"/>
                <w:b w:val="1"/>
                <w:bCs w:val="1"/>
                <w:color w:val="auto"/>
              </w:rPr>
              <w:t>Donald A. McCunniff</w:t>
            </w:r>
          </w:p>
        </w:tc>
        <w:tc>
          <w:tcPr>
            <w:tcW w:w="580" w:type="dxa"/>
            <w:vAlign w:val="bottom"/>
            <w:tcBorders>
              <w:right w:val="single" w:sz="8" w:color="47829E"/>
            </w:tcBorders>
            <w:shd w:val="clear" w:color="auto" w:fill="E3ECF0"/>
          </w:tcPr>
          <w:p>
            <w:pPr>
              <w:ind w:left="180"/>
              <w:spacing w:after="0"/>
              <w:rPr>
                <w:sz w:val="20"/>
                <w:szCs w:val="20"/>
                <w:color w:val="auto"/>
              </w:rPr>
            </w:pPr>
            <w:r>
              <w:rPr>
                <w:rFonts w:ascii="Arial" w:cs="Arial" w:eastAsia="Arial" w:hAnsi="Arial"/>
                <w:sz w:val="14"/>
                <w:szCs w:val="14"/>
                <w:color w:val="auto"/>
              </w:rPr>
              <w:t>2014</w:t>
            </w:r>
          </w:p>
        </w:tc>
        <w:tc>
          <w:tcPr>
            <w:tcW w:w="880" w:type="dxa"/>
            <w:vAlign w:val="bottom"/>
            <w:tcBorders>
              <w:right w:val="single" w:sz="8" w:color="47829E"/>
            </w:tcBorders>
            <w:shd w:val="clear" w:color="auto" w:fill="E3ECF0"/>
          </w:tcPr>
          <w:p>
            <w:pPr>
              <w:jc w:val="right"/>
              <w:ind w:right="32"/>
              <w:spacing w:after="0"/>
              <w:rPr>
                <w:sz w:val="20"/>
                <w:szCs w:val="20"/>
                <w:color w:val="auto"/>
              </w:rPr>
            </w:pPr>
            <w:r>
              <w:rPr>
                <w:rFonts w:ascii="Arial" w:cs="Arial" w:eastAsia="Arial" w:hAnsi="Arial"/>
                <w:sz w:val="14"/>
                <w:szCs w:val="14"/>
                <w:color w:val="auto"/>
              </w:rPr>
              <w:t>349,442</w:t>
            </w:r>
          </w:p>
        </w:tc>
        <w:tc>
          <w:tcPr>
            <w:tcW w:w="880" w:type="dxa"/>
            <w:vAlign w:val="bottom"/>
            <w:tcBorders>
              <w:right w:val="single" w:sz="8" w:color="47829E"/>
            </w:tcBorders>
            <w:shd w:val="clear" w:color="auto" w:fill="E3ECF0"/>
          </w:tcPr>
          <w:p>
            <w:pPr>
              <w:ind w:left="280"/>
              <w:spacing w:after="0"/>
              <w:rPr>
                <w:sz w:val="20"/>
                <w:szCs w:val="20"/>
                <w:color w:val="auto"/>
              </w:rPr>
            </w:pPr>
            <w:r>
              <w:rPr>
                <w:rFonts w:ascii="Arial" w:cs="Arial" w:eastAsia="Arial" w:hAnsi="Arial"/>
                <w:sz w:val="14"/>
                <w:szCs w:val="14"/>
                <w:color w:val="auto"/>
              </w:rPr>
              <w:t>282,000</w:t>
            </w:r>
          </w:p>
        </w:tc>
        <w:tc>
          <w:tcPr>
            <w:tcW w:w="920" w:type="dxa"/>
            <w:vAlign w:val="bottom"/>
            <w:tcBorders>
              <w:right w:val="single" w:sz="8" w:color="47829E"/>
            </w:tcBorders>
            <w:shd w:val="clear" w:color="auto" w:fill="E3ECF0"/>
          </w:tcPr>
          <w:p>
            <w:pPr>
              <w:jc w:val="right"/>
              <w:ind w:right="33"/>
              <w:spacing w:after="0"/>
              <w:rPr>
                <w:sz w:val="20"/>
                <w:szCs w:val="20"/>
                <w:color w:val="auto"/>
              </w:rPr>
            </w:pPr>
            <w:r>
              <w:rPr>
                <w:rFonts w:ascii="Arial" w:cs="Arial" w:eastAsia="Arial" w:hAnsi="Arial"/>
                <w:sz w:val="14"/>
                <w:szCs w:val="14"/>
                <w:color w:val="auto"/>
              </w:rPr>
              <w:t>1,418,203</w:t>
            </w:r>
          </w:p>
        </w:tc>
        <w:tc>
          <w:tcPr>
            <w:tcW w:w="940" w:type="dxa"/>
            <w:vAlign w:val="bottom"/>
            <w:tcBorders>
              <w:right w:val="single" w:sz="8" w:color="47829E"/>
            </w:tcBorders>
            <w:shd w:val="clear" w:color="auto" w:fill="E3ECF0"/>
          </w:tcPr>
          <w:p>
            <w:pPr>
              <w:jc w:val="right"/>
              <w:ind w:right="33"/>
              <w:spacing w:after="0"/>
              <w:rPr>
                <w:sz w:val="20"/>
                <w:szCs w:val="20"/>
                <w:color w:val="auto"/>
              </w:rPr>
            </w:pPr>
            <w:r>
              <w:rPr>
                <w:rFonts w:ascii="Arial" w:cs="Arial" w:eastAsia="Arial" w:hAnsi="Arial"/>
                <w:sz w:val="14"/>
                <w:szCs w:val="14"/>
                <w:color w:val="auto"/>
              </w:rPr>
              <w:t>131,432</w:t>
            </w:r>
          </w:p>
        </w:tc>
        <w:tc>
          <w:tcPr>
            <w:tcW w:w="1120" w:type="dxa"/>
            <w:vAlign w:val="bottom"/>
            <w:tcBorders>
              <w:right w:val="single" w:sz="8" w:color="47829E"/>
            </w:tcBorders>
            <w:shd w:val="clear" w:color="auto" w:fill="E3ECF0"/>
          </w:tcPr>
          <w:p>
            <w:pPr>
              <w:spacing w:after="0"/>
              <w:rPr>
                <w:sz w:val="22"/>
                <w:szCs w:val="22"/>
                <w:color w:val="auto"/>
              </w:rPr>
            </w:pPr>
          </w:p>
        </w:tc>
        <w:tc>
          <w:tcPr>
            <w:tcW w:w="1260" w:type="dxa"/>
            <w:vAlign w:val="bottom"/>
            <w:tcBorders>
              <w:right w:val="single" w:sz="8" w:color="47829E"/>
            </w:tcBorders>
            <w:shd w:val="clear" w:color="auto" w:fill="E3ECF0"/>
          </w:tcPr>
          <w:p>
            <w:pPr>
              <w:jc w:val="right"/>
              <w:ind w:right="33"/>
              <w:spacing w:after="0"/>
              <w:rPr>
                <w:sz w:val="20"/>
                <w:szCs w:val="20"/>
                <w:color w:val="auto"/>
              </w:rPr>
            </w:pPr>
            <w:r>
              <w:rPr>
                <w:rFonts w:ascii="Arial" w:cs="Arial" w:eastAsia="Arial" w:hAnsi="Arial"/>
                <w:sz w:val="14"/>
                <w:szCs w:val="14"/>
                <w:color w:val="auto"/>
              </w:rPr>
              <w:t>141,894</w:t>
            </w:r>
          </w:p>
        </w:tc>
        <w:tc>
          <w:tcPr>
            <w:tcW w:w="1240" w:type="dxa"/>
            <w:vAlign w:val="bottom"/>
            <w:tcBorders>
              <w:right w:val="single" w:sz="8" w:color="47829E"/>
            </w:tcBorders>
            <w:shd w:val="clear" w:color="auto" w:fill="E3ECF0"/>
          </w:tcPr>
          <w:p>
            <w:pPr>
              <w:jc w:val="right"/>
              <w:ind w:right="33"/>
              <w:spacing w:after="0"/>
              <w:rPr>
                <w:sz w:val="20"/>
                <w:szCs w:val="20"/>
                <w:color w:val="auto"/>
              </w:rPr>
            </w:pPr>
            <w:r>
              <w:rPr>
                <w:rFonts w:ascii="Arial" w:cs="Arial" w:eastAsia="Arial" w:hAnsi="Arial"/>
                <w:sz w:val="14"/>
                <w:szCs w:val="14"/>
                <w:color w:val="auto"/>
              </w:rPr>
              <w:t>54,572</w:t>
            </w:r>
          </w:p>
        </w:tc>
        <w:tc>
          <w:tcPr>
            <w:tcW w:w="1020" w:type="dxa"/>
            <w:vAlign w:val="bottom"/>
            <w:tcBorders>
              <w:right w:val="single" w:sz="8" w:color="47829E"/>
            </w:tcBorders>
            <w:shd w:val="clear" w:color="auto" w:fill="E3ECF0"/>
          </w:tcPr>
          <w:p>
            <w:pPr>
              <w:jc w:val="right"/>
              <w:ind w:right="132"/>
              <w:spacing w:after="0"/>
              <w:rPr>
                <w:sz w:val="20"/>
                <w:szCs w:val="20"/>
                <w:color w:val="auto"/>
              </w:rPr>
            </w:pPr>
            <w:r>
              <w:rPr>
                <w:rFonts w:ascii="Arial" w:cs="Arial" w:eastAsia="Arial" w:hAnsi="Arial"/>
                <w:sz w:val="14"/>
                <w:szCs w:val="14"/>
                <w:color w:val="auto"/>
              </w:rPr>
              <w:t>2,377,543</w:t>
            </w:r>
          </w:p>
        </w:tc>
      </w:tr>
      <w:tr>
        <w:trPr>
          <w:trHeight w:val="149"/>
        </w:trPr>
        <w:tc>
          <w:tcPr>
            <w:tcW w:w="2600" w:type="dxa"/>
            <w:vAlign w:val="bottom"/>
            <w:tcBorders>
              <w:left w:val="single" w:sz="8" w:color="47829E"/>
              <w:right w:val="single" w:sz="8" w:color="47829E"/>
            </w:tcBorders>
            <w:shd w:val="clear" w:color="auto" w:fill="E3ECF0"/>
          </w:tcPr>
          <w:p>
            <w:pPr>
              <w:ind w:left="120"/>
              <w:spacing w:after="0" w:line="149" w:lineRule="exact"/>
              <w:rPr>
                <w:sz w:val="20"/>
                <w:szCs w:val="20"/>
                <w:color w:val="auto"/>
              </w:rPr>
            </w:pPr>
            <w:r>
              <w:rPr>
                <w:rFonts w:ascii="Arial" w:cs="Arial" w:eastAsia="Arial" w:hAnsi="Arial"/>
                <w:sz w:val="14"/>
                <w:szCs w:val="14"/>
                <w:color w:val="auto"/>
              </w:rPr>
              <w:t>Senior Vice President,</w:t>
            </w:r>
          </w:p>
        </w:tc>
        <w:tc>
          <w:tcPr>
            <w:tcW w:w="580" w:type="dxa"/>
            <w:vAlign w:val="bottom"/>
            <w:tcBorders>
              <w:right w:val="single" w:sz="8" w:color="47829E"/>
            </w:tcBorders>
            <w:shd w:val="clear" w:color="auto" w:fill="E3ECF0"/>
          </w:tcPr>
          <w:p>
            <w:pPr>
              <w:ind w:left="180"/>
              <w:spacing w:after="0" w:line="149" w:lineRule="exact"/>
              <w:rPr>
                <w:sz w:val="20"/>
                <w:szCs w:val="20"/>
                <w:color w:val="auto"/>
              </w:rPr>
            </w:pPr>
            <w:r>
              <w:rPr>
                <w:rFonts w:ascii="Arial" w:cs="Arial" w:eastAsia="Arial" w:hAnsi="Arial"/>
                <w:sz w:val="14"/>
                <w:szCs w:val="14"/>
                <w:color w:val="auto"/>
              </w:rPr>
              <w:t>2013</w:t>
            </w:r>
          </w:p>
        </w:tc>
        <w:tc>
          <w:tcPr>
            <w:tcW w:w="88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338,900</w:t>
            </w:r>
          </w:p>
        </w:tc>
        <w:tc>
          <w:tcPr>
            <w:tcW w:w="880" w:type="dxa"/>
            <w:vAlign w:val="bottom"/>
            <w:tcBorders>
              <w:right w:val="single" w:sz="8" w:color="47829E"/>
            </w:tcBorders>
            <w:shd w:val="clear" w:color="auto" w:fill="E3ECF0"/>
          </w:tcPr>
          <w:p>
            <w:pPr>
              <w:ind w:left="280"/>
              <w:spacing w:after="0" w:line="149" w:lineRule="exact"/>
              <w:rPr>
                <w:sz w:val="20"/>
                <w:szCs w:val="20"/>
                <w:color w:val="auto"/>
              </w:rPr>
            </w:pPr>
            <w:r>
              <w:rPr>
                <w:rFonts w:ascii="Arial" w:cs="Arial" w:eastAsia="Arial" w:hAnsi="Arial"/>
                <w:sz w:val="14"/>
                <w:szCs w:val="14"/>
                <w:color w:val="auto"/>
              </w:rPr>
              <w:t>156,000</w:t>
            </w:r>
          </w:p>
        </w:tc>
        <w:tc>
          <w:tcPr>
            <w:tcW w:w="92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213,591</w:t>
            </w:r>
          </w:p>
        </w:tc>
        <w:tc>
          <w:tcPr>
            <w:tcW w:w="94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117,684</w:t>
            </w:r>
          </w:p>
        </w:tc>
        <w:tc>
          <w:tcPr>
            <w:tcW w:w="1120" w:type="dxa"/>
            <w:vAlign w:val="bottom"/>
            <w:tcBorders>
              <w:right w:val="single" w:sz="8" w:color="47829E"/>
            </w:tcBorders>
            <w:shd w:val="clear" w:color="auto" w:fill="E3ECF0"/>
          </w:tcPr>
          <w:p>
            <w:pPr>
              <w:spacing w:after="0"/>
              <w:rPr>
                <w:sz w:val="12"/>
                <w:szCs w:val="12"/>
                <w:color w:val="auto"/>
              </w:rPr>
            </w:pPr>
          </w:p>
        </w:tc>
        <w:tc>
          <w:tcPr>
            <w:tcW w:w="126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73,372</w:t>
            </w:r>
          </w:p>
        </w:tc>
        <w:tc>
          <w:tcPr>
            <w:tcW w:w="124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36,622</w:t>
            </w:r>
          </w:p>
        </w:tc>
        <w:tc>
          <w:tcPr>
            <w:tcW w:w="1020" w:type="dxa"/>
            <w:vAlign w:val="bottom"/>
            <w:tcBorders>
              <w:right w:val="single" w:sz="8" w:color="47829E"/>
            </w:tcBorders>
            <w:shd w:val="clear" w:color="auto" w:fill="E3ECF0"/>
          </w:tcPr>
          <w:p>
            <w:pPr>
              <w:jc w:val="right"/>
              <w:ind w:right="132"/>
              <w:spacing w:after="0" w:line="149" w:lineRule="exact"/>
              <w:rPr>
                <w:sz w:val="20"/>
                <w:szCs w:val="20"/>
                <w:color w:val="auto"/>
              </w:rPr>
            </w:pPr>
            <w:r>
              <w:rPr>
                <w:rFonts w:ascii="Arial" w:cs="Arial" w:eastAsia="Arial" w:hAnsi="Arial"/>
                <w:sz w:val="14"/>
                <w:szCs w:val="14"/>
                <w:color w:val="auto"/>
              </w:rPr>
              <w:t>936,169</w:t>
            </w:r>
          </w:p>
        </w:tc>
      </w:tr>
      <w:tr>
        <w:trPr>
          <w:trHeight w:val="149"/>
        </w:trPr>
        <w:tc>
          <w:tcPr>
            <w:tcW w:w="2600" w:type="dxa"/>
            <w:vAlign w:val="bottom"/>
            <w:tcBorders>
              <w:left w:val="single" w:sz="8" w:color="47829E"/>
              <w:right w:val="single" w:sz="8" w:color="47829E"/>
            </w:tcBorders>
            <w:shd w:val="clear" w:color="auto" w:fill="E3ECF0"/>
          </w:tcPr>
          <w:p>
            <w:pPr>
              <w:ind w:left="120"/>
              <w:spacing w:after="0" w:line="149" w:lineRule="exact"/>
              <w:rPr>
                <w:sz w:val="20"/>
                <w:szCs w:val="20"/>
                <w:color w:val="auto"/>
              </w:rPr>
            </w:pPr>
            <w:r>
              <w:rPr>
                <w:rFonts w:ascii="Arial" w:cs="Arial" w:eastAsia="Arial" w:hAnsi="Arial"/>
                <w:sz w:val="14"/>
                <w:szCs w:val="14"/>
                <w:color w:val="auto"/>
              </w:rPr>
              <w:t>Human Resources</w:t>
            </w:r>
          </w:p>
        </w:tc>
        <w:tc>
          <w:tcPr>
            <w:tcW w:w="580" w:type="dxa"/>
            <w:vAlign w:val="bottom"/>
            <w:tcBorders>
              <w:right w:val="single" w:sz="8" w:color="47829E"/>
            </w:tcBorders>
            <w:shd w:val="clear" w:color="auto" w:fill="E3ECF0"/>
          </w:tcPr>
          <w:p>
            <w:pPr>
              <w:ind w:left="180"/>
              <w:spacing w:after="0" w:line="149" w:lineRule="exact"/>
              <w:rPr>
                <w:sz w:val="20"/>
                <w:szCs w:val="20"/>
                <w:color w:val="auto"/>
              </w:rPr>
            </w:pPr>
            <w:r>
              <w:rPr>
                <w:rFonts w:ascii="Arial" w:cs="Arial" w:eastAsia="Arial" w:hAnsi="Arial"/>
                <w:sz w:val="14"/>
                <w:szCs w:val="14"/>
                <w:color w:val="auto"/>
              </w:rPr>
              <w:t>2012</w:t>
            </w:r>
          </w:p>
        </w:tc>
        <w:tc>
          <w:tcPr>
            <w:tcW w:w="88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328,533</w:t>
            </w:r>
          </w:p>
        </w:tc>
        <w:tc>
          <w:tcPr>
            <w:tcW w:w="880" w:type="dxa"/>
            <w:vAlign w:val="bottom"/>
            <w:tcBorders>
              <w:right w:val="single" w:sz="8" w:color="47829E"/>
            </w:tcBorders>
            <w:shd w:val="clear" w:color="auto" w:fill="E3ECF0"/>
          </w:tcPr>
          <w:p>
            <w:pPr>
              <w:ind w:left="280"/>
              <w:spacing w:after="0" w:line="149" w:lineRule="exact"/>
              <w:rPr>
                <w:sz w:val="20"/>
                <w:szCs w:val="20"/>
                <w:color w:val="auto"/>
              </w:rPr>
            </w:pPr>
            <w:r>
              <w:rPr>
                <w:rFonts w:ascii="Arial" w:cs="Arial" w:eastAsia="Arial" w:hAnsi="Arial"/>
                <w:sz w:val="14"/>
                <w:szCs w:val="14"/>
                <w:color w:val="auto"/>
              </w:rPr>
              <w:t>134,305</w:t>
            </w:r>
          </w:p>
        </w:tc>
        <w:tc>
          <w:tcPr>
            <w:tcW w:w="92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159,305</w:t>
            </w:r>
          </w:p>
        </w:tc>
        <w:tc>
          <w:tcPr>
            <w:tcW w:w="94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81,032</w:t>
            </w:r>
          </w:p>
        </w:tc>
        <w:tc>
          <w:tcPr>
            <w:tcW w:w="1120" w:type="dxa"/>
            <w:vAlign w:val="bottom"/>
            <w:tcBorders>
              <w:right w:val="single" w:sz="8" w:color="47829E"/>
            </w:tcBorders>
            <w:shd w:val="clear" w:color="auto" w:fill="E3ECF0"/>
          </w:tcPr>
          <w:p>
            <w:pPr>
              <w:spacing w:after="0"/>
              <w:rPr>
                <w:sz w:val="12"/>
                <w:szCs w:val="12"/>
                <w:color w:val="auto"/>
              </w:rPr>
            </w:pPr>
          </w:p>
        </w:tc>
        <w:tc>
          <w:tcPr>
            <w:tcW w:w="126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81,311</w:t>
            </w:r>
          </w:p>
        </w:tc>
        <w:tc>
          <w:tcPr>
            <w:tcW w:w="124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31,310</w:t>
            </w:r>
          </w:p>
        </w:tc>
        <w:tc>
          <w:tcPr>
            <w:tcW w:w="1020" w:type="dxa"/>
            <w:vAlign w:val="bottom"/>
            <w:tcBorders>
              <w:right w:val="single" w:sz="8" w:color="47829E"/>
            </w:tcBorders>
            <w:shd w:val="clear" w:color="auto" w:fill="E3ECF0"/>
          </w:tcPr>
          <w:p>
            <w:pPr>
              <w:jc w:val="right"/>
              <w:ind w:right="132"/>
              <w:spacing w:after="0" w:line="149" w:lineRule="exact"/>
              <w:rPr>
                <w:sz w:val="20"/>
                <w:szCs w:val="20"/>
                <w:color w:val="auto"/>
              </w:rPr>
            </w:pPr>
            <w:r>
              <w:rPr>
                <w:rFonts w:ascii="Arial" w:cs="Arial" w:eastAsia="Arial" w:hAnsi="Arial"/>
                <w:sz w:val="14"/>
                <w:szCs w:val="14"/>
                <w:color w:val="auto"/>
              </w:rPr>
              <w:t>815,796</w:t>
            </w:r>
          </w:p>
        </w:tc>
      </w:tr>
      <w:tr>
        <w:trPr>
          <w:trHeight w:val="256"/>
        </w:trPr>
        <w:tc>
          <w:tcPr>
            <w:tcW w:w="2600" w:type="dxa"/>
            <w:vAlign w:val="bottom"/>
            <w:tcBorders>
              <w:left w:val="single" w:sz="8" w:color="47829E"/>
              <w:right w:val="single" w:sz="8" w:color="47829E"/>
            </w:tcBorders>
          </w:tcPr>
          <w:p>
            <w:pPr>
              <w:ind w:left="120"/>
              <w:spacing w:after="0"/>
              <w:rPr>
                <w:sz w:val="20"/>
                <w:szCs w:val="20"/>
                <w:color w:val="auto"/>
              </w:rPr>
            </w:pPr>
            <w:r>
              <w:rPr>
                <w:rFonts w:ascii="Arial" w:cs="Arial" w:eastAsia="Arial" w:hAnsi="Arial"/>
                <w:sz w:val="14"/>
                <w:szCs w:val="14"/>
                <w:b w:val="1"/>
                <w:bCs w:val="1"/>
                <w:color w:val="auto"/>
              </w:rPr>
              <w:t>Daniel L. Grant</w:t>
            </w:r>
            <w:r>
              <w:rPr>
                <w:rFonts w:ascii="Arial" w:cs="Arial" w:eastAsia="Arial" w:hAnsi="Arial"/>
                <w:sz w:val="22"/>
                <w:szCs w:val="22"/>
                <w:b w:val="1"/>
                <w:bCs w:val="1"/>
                <w:color w:val="auto"/>
                <w:vertAlign w:val="superscript"/>
              </w:rPr>
              <w:t>6</w:t>
            </w:r>
          </w:p>
        </w:tc>
        <w:tc>
          <w:tcPr>
            <w:tcW w:w="580" w:type="dxa"/>
            <w:vAlign w:val="bottom"/>
            <w:tcBorders>
              <w:right w:val="single" w:sz="8" w:color="47829E"/>
            </w:tcBorders>
          </w:tcPr>
          <w:p>
            <w:pPr>
              <w:ind w:left="180"/>
              <w:spacing w:after="0"/>
              <w:rPr>
                <w:sz w:val="20"/>
                <w:szCs w:val="20"/>
                <w:color w:val="auto"/>
              </w:rPr>
            </w:pPr>
            <w:r>
              <w:rPr>
                <w:rFonts w:ascii="Arial" w:cs="Arial" w:eastAsia="Arial" w:hAnsi="Arial"/>
                <w:sz w:val="14"/>
                <w:szCs w:val="14"/>
                <w:color w:val="auto"/>
              </w:rPr>
              <w:t>2014</w:t>
            </w:r>
          </w:p>
        </w:tc>
        <w:tc>
          <w:tcPr>
            <w:tcW w:w="88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328,667</w:t>
            </w:r>
          </w:p>
        </w:tc>
        <w:tc>
          <w:tcPr>
            <w:tcW w:w="880" w:type="dxa"/>
            <w:vAlign w:val="bottom"/>
            <w:tcBorders>
              <w:right w:val="single" w:sz="8" w:color="47829E"/>
            </w:tcBorders>
          </w:tcPr>
          <w:p>
            <w:pPr>
              <w:ind w:left="280"/>
              <w:spacing w:after="0"/>
              <w:rPr>
                <w:sz w:val="20"/>
                <w:szCs w:val="20"/>
                <w:color w:val="auto"/>
              </w:rPr>
            </w:pPr>
            <w:r>
              <w:rPr>
                <w:rFonts w:ascii="Arial" w:cs="Arial" w:eastAsia="Arial" w:hAnsi="Arial"/>
                <w:sz w:val="14"/>
                <w:szCs w:val="14"/>
                <w:color w:val="auto"/>
              </w:rPr>
              <w:t>234,360</w:t>
            </w:r>
          </w:p>
        </w:tc>
        <w:tc>
          <w:tcPr>
            <w:tcW w:w="920" w:type="dxa"/>
            <w:vAlign w:val="bottom"/>
            <w:tcBorders>
              <w:right w:val="single" w:sz="8" w:color="47829E"/>
            </w:tcBorders>
          </w:tcPr>
          <w:p>
            <w:pPr>
              <w:jc w:val="right"/>
              <w:ind w:right="33"/>
              <w:spacing w:after="0"/>
              <w:rPr>
                <w:sz w:val="20"/>
                <w:szCs w:val="20"/>
                <w:color w:val="auto"/>
              </w:rPr>
            </w:pPr>
            <w:r>
              <w:rPr>
                <w:rFonts w:ascii="Arial" w:cs="Arial" w:eastAsia="Arial" w:hAnsi="Arial"/>
                <w:sz w:val="14"/>
                <w:szCs w:val="14"/>
                <w:color w:val="auto"/>
              </w:rPr>
              <w:t>1,260,978</w:t>
            </w:r>
          </w:p>
        </w:tc>
        <w:tc>
          <w:tcPr>
            <w:tcW w:w="940" w:type="dxa"/>
            <w:vAlign w:val="bottom"/>
            <w:tcBorders>
              <w:right w:val="single" w:sz="8" w:color="47829E"/>
            </w:tcBorders>
          </w:tcPr>
          <w:p>
            <w:pPr>
              <w:jc w:val="right"/>
              <w:ind w:right="33"/>
              <w:spacing w:after="0"/>
              <w:rPr>
                <w:sz w:val="20"/>
                <w:szCs w:val="20"/>
                <w:color w:val="auto"/>
              </w:rPr>
            </w:pPr>
            <w:r>
              <w:rPr>
                <w:rFonts w:ascii="Arial" w:cs="Arial" w:eastAsia="Arial" w:hAnsi="Arial"/>
                <w:sz w:val="14"/>
                <w:szCs w:val="14"/>
                <w:color w:val="auto"/>
              </w:rPr>
              <w:t>70,861</w:t>
            </w:r>
          </w:p>
        </w:tc>
        <w:tc>
          <w:tcPr>
            <w:tcW w:w="1120" w:type="dxa"/>
            <w:vAlign w:val="bottom"/>
            <w:tcBorders>
              <w:right w:val="single" w:sz="8" w:color="47829E"/>
            </w:tcBorders>
          </w:tcPr>
          <w:p>
            <w:pPr>
              <w:spacing w:after="0"/>
              <w:rPr>
                <w:sz w:val="22"/>
                <w:szCs w:val="22"/>
                <w:color w:val="auto"/>
              </w:rPr>
            </w:pPr>
          </w:p>
        </w:tc>
        <w:tc>
          <w:tcPr>
            <w:tcW w:w="1260" w:type="dxa"/>
            <w:vAlign w:val="bottom"/>
            <w:tcBorders>
              <w:right w:val="single" w:sz="8" w:color="47829E"/>
            </w:tcBorders>
          </w:tcPr>
          <w:p>
            <w:pPr>
              <w:jc w:val="right"/>
              <w:ind w:right="33"/>
              <w:spacing w:after="0"/>
              <w:rPr>
                <w:sz w:val="20"/>
                <w:szCs w:val="20"/>
                <w:color w:val="auto"/>
              </w:rPr>
            </w:pPr>
            <w:r>
              <w:rPr>
                <w:rFonts w:ascii="Arial" w:cs="Arial" w:eastAsia="Arial" w:hAnsi="Arial"/>
                <w:sz w:val="14"/>
                <w:szCs w:val="14"/>
                <w:color w:val="auto"/>
              </w:rPr>
              <w:t>107,937</w:t>
            </w:r>
          </w:p>
        </w:tc>
        <w:tc>
          <w:tcPr>
            <w:tcW w:w="1240" w:type="dxa"/>
            <w:vAlign w:val="bottom"/>
            <w:tcBorders>
              <w:right w:val="single" w:sz="8" w:color="47829E"/>
            </w:tcBorders>
          </w:tcPr>
          <w:p>
            <w:pPr>
              <w:jc w:val="right"/>
              <w:ind w:right="33"/>
              <w:spacing w:after="0"/>
              <w:rPr>
                <w:sz w:val="20"/>
                <w:szCs w:val="20"/>
                <w:color w:val="auto"/>
              </w:rPr>
            </w:pPr>
            <w:r>
              <w:rPr>
                <w:rFonts w:ascii="Arial" w:cs="Arial" w:eastAsia="Arial" w:hAnsi="Arial"/>
                <w:sz w:val="14"/>
                <w:szCs w:val="14"/>
                <w:color w:val="auto"/>
              </w:rPr>
              <w:t>42,373</w:t>
            </w:r>
          </w:p>
        </w:tc>
        <w:tc>
          <w:tcPr>
            <w:tcW w:w="1020" w:type="dxa"/>
            <w:vAlign w:val="bottom"/>
            <w:tcBorders>
              <w:right w:val="single" w:sz="8" w:color="47829E"/>
            </w:tcBorders>
          </w:tcPr>
          <w:p>
            <w:pPr>
              <w:jc w:val="right"/>
              <w:ind w:right="132"/>
              <w:spacing w:after="0"/>
              <w:rPr>
                <w:sz w:val="20"/>
                <w:szCs w:val="20"/>
                <w:color w:val="auto"/>
              </w:rPr>
            </w:pPr>
            <w:r>
              <w:rPr>
                <w:rFonts w:ascii="Arial" w:cs="Arial" w:eastAsia="Arial" w:hAnsi="Arial"/>
                <w:sz w:val="14"/>
                <w:szCs w:val="14"/>
                <w:color w:val="auto"/>
              </w:rPr>
              <w:t>2,045,177</w:t>
            </w:r>
          </w:p>
        </w:tc>
      </w:tr>
      <w:tr>
        <w:trPr>
          <w:trHeight w:val="149"/>
        </w:trPr>
        <w:tc>
          <w:tcPr>
            <w:tcW w:w="2600" w:type="dxa"/>
            <w:vAlign w:val="bottom"/>
            <w:tcBorders>
              <w:left w:val="single" w:sz="8" w:color="47829E"/>
              <w:right w:val="single" w:sz="8" w:color="47829E"/>
            </w:tcBorders>
          </w:tcPr>
          <w:p>
            <w:pPr>
              <w:ind w:left="120"/>
              <w:spacing w:after="0" w:line="149" w:lineRule="exact"/>
              <w:rPr>
                <w:sz w:val="20"/>
                <w:szCs w:val="20"/>
                <w:color w:val="auto"/>
              </w:rPr>
            </w:pPr>
            <w:r>
              <w:rPr>
                <w:rFonts w:ascii="Arial" w:cs="Arial" w:eastAsia="Arial" w:hAnsi="Arial"/>
                <w:sz w:val="14"/>
                <w:szCs w:val="14"/>
                <w:color w:val="auto"/>
              </w:rPr>
              <w:t>Senior Vice President,</w:t>
            </w:r>
          </w:p>
        </w:tc>
        <w:tc>
          <w:tcPr>
            <w:tcW w:w="58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spacing w:after="0"/>
              <w:rPr>
                <w:sz w:val="12"/>
                <w:szCs w:val="12"/>
                <w:color w:val="auto"/>
              </w:rPr>
            </w:pPr>
          </w:p>
        </w:tc>
        <w:tc>
          <w:tcPr>
            <w:tcW w:w="920" w:type="dxa"/>
            <w:vAlign w:val="bottom"/>
            <w:tcBorders>
              <w:right w:val="single" w:sz="8" w:color="47829E"/>
            </w:tcBorders>
          </w:tcPr>
          <w:p>
            <w:pPr>
              <w:spacing w:after="0"/>
              <w:rPr>
                <w:sz w:val="12"/>
                <w:szCs w:val="12"/>
                <w:color w:val="auto"/>
              </w:rPr>
            </w:pPr>
          </w:p>
        </w:tc>
        <w:tc>
          <w:tcPr>
            <w:tcW w:w="940" w:type="dxa"/>
            <w:vAlign w:val="bottom"/>
            <w:tcBorders>
              <w:right w:val="single" w:sz="8" w:color="47829E"/>
            </w:tcBorders>
          </w:tcPr>
          <w:p>
            <w:pPr>
              <w:spacing w:after="0"/>
              <w:rPr>
                <w:sz w:val="12"/>
                <w:szCs w:val="12"/>
                <w:color w:val="auto"/>
              </w:rPr>
            </w:pPr>
          </w:p>
        </w:tc>
        <w:tc>
          <w:tcPr>
            <w:tcW w:w="1120" w:type="dxa"/>
            <w:vAlign w:val="bottom"/>
            <w:tcBorders>
              <w:right w:val="single" w:sz="8" w:color="47829E"/>
            </w:tcBorders>
          </w:tcPr>
          <w:p>
            <w:pPr>
              <w:spacing w:after="0"/>
              <w:rPr>
                <w:sz w:val="12"/>
                <w:szCs w:val="12"/>
                <w:color w:val="auto"/>
              </w:rPr>
            </w:pPr>
          </w:p>
        </w:tc>
        <w:tc>
          <w:tcPr>
            <w:tcW w:w="1260" w:type="dxa"/>
            <w:vAlign w:val="bottom"/>
            <w:tcBorders>
              <w:right w:val="single" w:sz="8" w:color="47829E"/>
            </w:tcBorders>
          </w:tcPr>
          <w:p>
            <w:pPr>
              <w:spacing w:after="0"/>
              <w:rPr>
                <w:sz w:val="12"/>
                <w:szCs w:val="12"/>
                <w:color w:val="auto"/>
              </w:rPr>
            </w:pPr>
          </w:p>
        </w:tc>
        <w:tc>
          <w:tcPr>
            <w:tcW w:w="1240" w:type="dxa"/>
            <w:vAlign w:val="bottom"/>
            <w:tcBorders>
              <w:right w:val="single" w:sz="8" w:color="47829E"/>
            </w:tcBorders>
          </w:tcPr>
          <w:p>
            <w:pPr>
              <w:spacing w:after="0"/>
              <w:rPr>
                <w:sz w:val="12"/>
                <w:szCs w:val="12"/>
                <w:color w:val="auto"/>
              </w:rPr>
            </w:pPr>
          </w:p>
        </w:tc>
        <w:tc>
          <w:tcPr>
            <w:tcW w:w="1020" w:type="dxa"/>
            <w:vAlign w:val="bottom"/>
            <w:tcBorders>
              <w:right w:val="single" w:sz="8" w:color="47829E"/>
            </w:tcBorders>
          </w:tcPr>
          <w:p>
            <w:pPr>
              <w:spacing w:after="0"/>
              <w:rPr>
                <w:sz w:val="12"/>
                <w:szCs w:val="12"/>
                <w:color w:val="auto"/>
              </w:rPr>
            </w:pPr>
          </w:p>
        </w:tc>
      </w:tr>
      <w:tr>
        <w:trPr>
          <w:trHeight w:val="162"/>
        </w:trPr>
        <w:tc>
          <w:tcPr>
            <w:tcW w:w="2600" w:type="dxa"/>
            <w:vAlign w:val="bottom"/>
            <w:tcBorders>
              <w:left w:val="single" w:sz="8" w:color="47829E"/>
              <w:bottom w:val="single" w:sz="8" w:color="47829E"/>
              <w:right w:val="single" w:sz="8" w:color="47829E"/>
            </w:tcBorders>
          </w:tcPr>
          <w:p>
            <w:pPr>
              <w:ind w:left="120"/>
              <w:spacing w:after="0"/>
              <w:rPr>
                <w:sz w:val="20"/>
                <w:szCs w:val="20"/>
                <w:color w:val="auto"/>
              </w:rPr>
            </w:pPr>
            <w:r>
              <w:rPr>
                <w:rFonts w:ascii="Arial" w:cs="Arial" w:eastAsia="Arial" w:hAnsi="Arial"/>
                <w:sz w:val="14"/>
                <w:szCs w:val="14"/>
                <w:color w:val="auto"/>
              </w:rPr>
              <w:t>Strategy &amp; Development</w:t>
            </w:r>
          </w:p>
        </w:tc>
        <w:tc>
          <w:tcPr>
            <w:tcW w:w="580" w:type="dxa"/>
            <w:vAlign w:val="bottom"/>
            <w:tcBorders>
              <w:bottom w:val="single" w:sz="8" w:color="47829E"/>
              <w:right w:val="single" w:sz="8" w:color="47829E"/>
            </w:tcBorders>
          </w:tcPr>
          <w:p>
            <w:pPr>
              <w:spacing w:after="0"/>
              <w:rPr>
                <w:sz w:val="14"/>
                <w:szCs w:val="14"/>
                <w:color w:val="auto"/>
              </w:rPr>
            </w:pPr>
          </w:p>
        </w:tc>
        <w:tc>
          <w:tcPr>
            <w:tcW w:w="880" w:type="dxa"/>
            <w:vAlign w:val="bottom"/>
            <w:tcBorders>
              <w:bottom w:val="single" w:sz="8" w:color="47829E"/>
              <w:right w:val="single" w:sz="8" w:color="47829E"/>
            </w:tcBorders>
          </w:tcPr>
          <w:p>
            <w:pPr>
              <w:spacing w:after="0"/>
              <w:rPr>
                <w:sz w:val="14"/>
                <w:szCs w:val="14"/>
                <w:color w:val="auto"/>
              </w:rPr>
            </w:pPr>
          </w:p>
        </w:tc>
        <w:tc>
          <w:tcPr>
            <w:tcW w:w="880" w:type="dxa"/>
            <w:vAlign w:val="bottom"/>
            <w:tcBorders>
              <w:bottom w:val="single" w:sz="8" w:color="47829E"/>
              <w:right w:val="single" w:sz="8" w:color="47829E"/>
            </w:tcBorders>
          </w:tcPr>
          <w:p>
            <w:pPr>
              <w:spacing w:after="0"/>
              <w:rPr>
                <w:sz w:val="14"/>
                <w:szCs w:val="14"/>
                <w:color w:val="auto"/>
              </w:rPr>
            </w:pPr>
          </w:p>
        </w:tc>
        <w:tc>
          <w:tcPr>
            <w:tcW w:w="920" w:type="dxa"/>
            <w:vAlign w:val="bottom"/>
            <w:tcBorders>
              <w:bottom w:val="single" w:sz="8" w:color="47829E"/>
              <w:right w:val="single" w:sz="8" w:color="47829E"/>
            </w:tcBorders>
          </w:tcPr>
          <w:p>
            <w:pPr>
              <w:spacing w:after="0"/>
              <w:rPr>
                <w:sz w:val="14"/>
                <w:szCs w:val="14"/>
                <w:color w:val="auto"/>
              </w:rPr>
            </w:pPr>
          </w:p>
        </w:tc>
        <w:tc>
          <w:tcPr>
            <w:tcW w:w="940" w:type="dxa"/>
            <w:vAlign w:val="bottom"/>
            <w:tcBorders>
              <w:bottom w:val="single" w:sz="8" w:color="47829E"/>
              <w:right w:val="single" w:sz="8" w:color="47829E"/>
            </w:tcBorders>
          </w:tcPr>
          <w:p>
            <w:pPr>
              <w:spacing w:after="0"/>
              <w:rPr>
                <w:sz w:val="14"/>
                <w:szCs w:val="14"/>
                <w:color w:val="auto"/>
              </w:rPr>
            </w:pPr>
          </w:p>
        </w:tc>
        <w:tc>
          <w:tcPr>
            <w:tcW w:w="1120" w:type="dxa"/>
            <w:vAlign w:val="bottom"/>
            <w:tcBorders>
              <w:bottom w:val="single" w:sz="8" w:color="47829E"/>
              <w:right w:val="single" w:sz="8" w:color="47829E"/>
            </w:tcBorders>
          </w:tcPr>
          <w:p>
            <w:pPr>
              <w:spacing w:after="0"/>
              <w:rPr>
                <w:sz w:val="14"/>
                <w:szCs w:val="14"/>
                <w:color w:val="auto"/>
              </w:rPr>
            </w:pPr>
          </w:p>
        </w:tc>
        <w:tc>
          <w:tcPr>
            <w:tcW w:w="1260" w:type="dxa"/>
            <w:vAlign w:val="bottom"/>
            <w:tcBorders>
              <w:bottom w:val="single" w:sz="8" w:color="47829E"/>
              <w:right w:val="single" w:sz="8" w:color="47829E"/>
            </w:tcBorders>
          </w:tcPr>
          <w:p>
            <w:pPr>
              <w:spacing w:after="0"/>
              <w:rPr>
                <w:sz w:val="14"/>
                <w:szCs w:val="14"/>
                <w:color w:val="auto"/>
              </w:rPr>
            </w:pPr>
          </w:p>
        </w:tc>
        <w:tc>
          <w:tcPr>
            <w:tcW w:w="1240" w:type="dxa"/>
            <w:vAlign w:val="bottom"/>
            <w:tcBorders>
              <w:bottom w:val="single" w:sz="8" w:color="47829E"/>
              <w:right w:val="single" w:sz="8" w:color="47829E"/>
            </w:tcBorders>
          </w:tcPr>
          <w:p>
            <w:pPr>
              <w:spacing w:after="0"/>
              <w:rPr>
                <w:sz w:val="14"/>
                <w:szCs w:val="14"/>
                <w:color w:val="auto"/>
              </w:rPr>
            </w:pPr>
          </w:p>
        </w:tc>
        <w:tc>
          <w:tcPr>
            <w:tcW w:w="1020" w:type="dxa"/>
            <w:vAlign w:val="bottom"/>
            <w:tcBorders>
              <w:bottom w:val="single" w:sz="8" w:color="47829E"/>
              <w:right w:val="single" w:sz="8" w:color="47829E"/>
            </w:tcBorders>
          </w:tcPr>
          <w:p>
            <w:pPr>
              <w:spacing w:after="0"/>
              <w:rPr>
                <w:sz w:val="14"/>
                <w:szCs w:val="14"/>
                <w:color w:val="auto"/>
              </w:rPr>
            </w:pPr>
          </w:p>
        </w:tc>
      </w:tr>
    </w:tbl>
    <w:p>
      <w:pPr>
        <w:spacing w:after="0" w:line="80" w:lineRule="exact"/>
        <w:rPr>
          <w:sz w:val="20"/>
          <w:szCs w:val="20"/>
          <w:color w:val="auto"/>
        </w:rPr>
      </w:pPr>
    </w:p>
    <w:p>
      <w:pPr>
        <w:ind w:left="120" w:right="80" w:hanging="112"/>
        <w:spacing w:after="0" w:line="209" w:lineRule="auto"/>
        <w:tabs>
          <w:tab w:leader="none" w:pos="12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 xml:space="preserve">The amounts in column (d) for 2014 reflect the cash bonuses to the named individuals earned in 2014 and paid in 2015 under annual incentive arrangements discussed in further detail on pages 34 to 35 under the heading </w:t>
      </w:r>
      <w:r>
        <w:rPr>
          <w:rFonts w:ascii="Arial" w:cs="Arial" w:eastAsia="Arial" w:hAnsi="Arial"/>
          <w:sz w:val="14"/>
          <w:szCs w:val="14"/>
          <w:i w:val="1"/>
          <w:iCs w:val="1"/>
          <w:color w:val="auto"/>
        </w:rPr>
        <w:t>“Annual Cash Incentive: Executive Incentive Plan.”</w:t>
      </w:r>
      <w:r>
        <w:rPr>
          <w:rFonts w:ascii="Arial" w:cs="Arial" w:eastAsia="Arial" w:hAnsi="Arial"/>
          <w:sz w:val="14"/>
          <w:szCs w:val="14"/>
          <w:color w:val="auto"/>
        </w:rPr>
        <w:t xml:space="preserve"> The amounts in this column also include the amounts of bonus irrevocably deferred in common stock units at the election of each named executive officer pursuant to Martin Marietta’s Incentive Stock Plan, which is discussed in further detail on page 37 under the heading </w:t>
      </w:r>
      <w:r>
        <w:rPr>
          <w:rFonts w:ascii="Arial" w:cs="Arial" w:eastAsia="Arial" w:hAnsi="Arial"/>
          <w:sz w:val="14"/>
          <w:szCs w:val="14"/>
          <w:i w:val="1"/>
          <w:iCs w:val="1"/>
          <w:color w:val="auto"/>
        </w:rPr>
        <w:t>“Annual Incentive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Feature: Performance-Based Stock Purchase Plan.” </w:t>
      </w:r>
      <w:r>
        <w:rPr>
          <w:rFonts w:ascii="Arial" w:cs="Arial" w:eastAsia="Arial" w:hAnsi="Arial"/>
          <w:sz w:val="14"/>
          <w:szCs w:val="14"/>
          <w:color w:val="auto"/>
        </w:rPr>
        <w:t>The number of stock units and the related grant date fair value attributable to the amounts of bonus so deferred by the named executive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officers appear in columns (i) and (l), respectively, of the Grants of Plan-Based Awards Table on page 47. Column (e) includes the amounts mandatorily deferred in 2014 under the Incentive Stock Plan. Column (d) also includes the one-time strategic acquisition bonuses paid for 2014 discussed in further detail on pages 36 to 37 under the heading </w:t>
      </w:r>
      <w:r>
        <w:rPr>
          <w:rFonts w:ascii="Arial" w:cs="Arial" w:eastAsia="Arial" w:hAnsi="Arial"/>
          <w:sz w:val="14"/>
          <w:szCs w:val="14"/>
          <w:i w:val="1"/>
          <w:iCs w:val="1"/>
          <w:color w:val="auto"/>
        </w:rPr>
        <w:t xml:space="preserve">“Annual Cash Incentive: One-Time Strategic Acquisition Bonus” </w:t>
      </w:r>
      <w:r>
        <w:rPr>
          <w:rFonts w:ascii="Arial" w:cs="Arial" w:eastAsia="Arial" w:hAnsi="Arial"/>
          <w:sz w:val="14"/>
          <w:szCs w:val="14"/>
          <w:color w:val="auto"/>
        </w:rPr>
        <w:t>and the amounts deferred in 2014 for each of the named executive officers at his or her election, which are as follows: Mr. Nye, $165,000; Ms. Lloyd,</w:t>
      </w:r>
      <w:r>
        <w:rPr>
          <w:rFonts w:ascii="Arial" w:cs="Arial" w:eastAsia="Arial" w:hAnsi="Arial"/>
          <w:sz w:val="14"/>
          <w:szCs w:val="14"/>
          <w:i w:val="1"/>
          <w:iCs w:val="1"/>
          <w:color w:val="auto"/>
        </w:rPr>
        <w:t xml:space="preserve"> </w:t>
      </w:r>
      <w:r>
        <w:rPr>
          <w:rFonts w:ascii="Arial" w:cs="Arial" w:eastAsia="Arial" w:hAnsi="Arial"/>
          <w:sz w:val="14"/>
          <w:szCs w:val="14"/>
          <w:color w:val="auto"/>
        </w:rPr>
        <w:t>$38,410; Ms. Bar, $28,300; Mr. McCunniff, $0; and Mr. Grant, $21,170.</w:t>
      </w:r>
    </w:p>
    <w:p>
      <w:pPr>
        <w:spacing w:after="0" w:line="68" w:lineRule="exact"/>
        <w:rPr>
          <w:sz w:val="20"/>
          <w:szCs w:val="20"/>
          <w:color w:val="auto"/>
        </w:rPr>
      </w:pPr>
    </w:p>
    <w:p>
      <w:pPr>
        <w:ind w:left="120" w:right="20" w:hanging="112"/>
        <w:spacing w:after="0" w:line="202" w:lineRule="auto"/>
        <w:tabs>
          <w:tab w:leader="none" w:pos="12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 xml:space="preserve">The amounts in column (e) reflect the aggregate grant date fair value of awards made in the year reported, determined in accordance with FASB ASC Topic 718 (without any assumption for early forfeiture), of awards of restricted stock units (including performance-based restricted stock unit awards granted in 2014); awards related to the amount of cash bonus irrevocably and mandatorily deferred in common stock units by each named executive officer pursuant to Martin Marietta’s Incentive Stock Plan, which is discussed in further detail on page 37 under the heading </w:t>
      </w:r>
      <w:r>
        <w:rPr>
          <w:rFonts w:ascii="Arial" w:cs="Arial" w:eastAsia="Arial" w:hAnsi="Arial"/>
          <w:sz w:val="14"/>
          <w:szCs w:val="14"/>
          <w:i w:val="1"/>
          <w:iCs w:val="1"/>
          <w:color w:val="auto"/>
        </w:rPr>
        <w:t>“Annual Incentive Feature: Performance-Based Stock Purchase Plan”</w:t>
      </w:r>
      <w:r>
        <w:rPr>
          <w:rFonts w:ascii="Arial" w:cs="Arial" w:eastAsia="Arial" w:hAnsi="Arial"/>
          <w:sz w:val="14"/>
          <w:szCs w:val="14"/>
          <w:color w:val="auto"/>
        </w:rPr>
        <w:t xml:space="preserve">; and, for 2014, awards of performance shares, which are described in more detail on pages 40 to 41 under the heading </w:t>
      </w:r>
      <w:r>
        <w:rPr>
          <w:rFonts w:ascii="Arial" w:cs="Arial" w:eastAsia="Arial" w:hAnsi="Arial"/>
          <w:sz w:val="14"/>
          <w:szCs w:val="14"/>
          <w:i w:val="1"/>
          <w:iCs w:val="1"/>
          <w:color w:val="auto"/>
        </w:rPr>
        <w:t>“Performance Share Unit Awards (PSUs)”</w:t>
      </w:r>
      <w:r>
        <w:rPr>
          <w:rFonts w:ascii="Arial" w:cs="Arial" w:eastAsia="Arial" w:hAnsi="Arial"/>
          <w:sz w:val="14"/>
          <w:szCs w:val="14"/>
          <w:color w:val="auto"/>
        </w:rPr>
        <w:t xml:space="preserve"> and</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40"/>
          </w:cols>
          <w:pgMar w:left="240" w:top="256" w:right="219" w:bottom="1440" w:gutter="0" w:footer="0" w:header="0"/>
        </w:sectPr>
      </w:pPr>
    </w:p>
    <w:bookmarkStart w:id="49" w:name="page50"/>
    <w:bookmarkEnd w:id="49"/>
    <w:p>
      <w:pPr>
        <w:ind w:left="112" w:right="40"/>
        <w:spacing w:after="0" w:line="22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one-time transformation equity grants discussed in more detail on pages 41 to 42 under the heading “</w:t>
      </w:r>
      <w:r>
        <w:rPr>
          <w:rFonts w:ascii="Arial" w:cs="Arial" w:eastAsia="Arial" w:hAnsi="Arial"/>
          <w:sz w:val="14"/>
          <w:szCs w:val="14"/>
          <w:i w:val="1"/>
          <w:iCs w:val="1"/>
          <w:color w:val="auto"/>
        </w:rPr>
        <w:t>One-Time Long-Term Transformation Equity Grants</w:t>
      </w:r>
      <w:r>
        <w:rPr>
          <w:rFonts w:ascii="Arial" w:cs="Arial" w:eastAsia="Arial" w:hAnsi="Arial"/>
          <w:sz w:val="14"/>
          <w:szCs w:val="14"/>
          <w:color w:val="auto"/>
        </w:rPr>
        <w:t>.” The amount included in the table for performance-based restricted stock unit awards granted in 2014 reflects the value of the units granted, which is subject to forfeiture if the executive does not remain in the employment of Martin Marietta for the requisite time period (generally three or four years). The amounts in column (e) do not include the 20% discount on the Incentive Stock Plan units, which is reported in column (i). The amount in column (e) also includes PSUs, which were first awarded in 2014, and assumes the number of shares based on the target level of performance. Assuming the maximum payout under the PSUs, which will be determined in January 2017 based on the Company’s performance in 2014-2016, the amounts reported above for 2014 would be as follows: Mr. Nye, $617,571; Ms. Lloyd, $349,494; Ms. Bar, $291,686; Mr. McCunniff, $239,174; and Mr. Grant, $227,039. Assumptions used in the calculation of these amounts are included in Note A to Martin Marietta’s audited financial statements for the fiscal year ended December 31, 2014, included in Martin Marietta’s Annual Report on Form 10-K filed with the Securities and Exchange Commission on February 24, 2015. The amounts of cash bonus deferred in 2014 at the election of each named executive officer are included in column (d). The amounts of cash bonus mandatorily deferred in 2014 for each of the named executive officers are as follows: Mr. Nye, $385,000; Ms. Lloyd, $76,820; Ms. Bar, $56,600; Mr. McCunniff, $45,500; and Mr. Grant, $42,340.</w:t>
      </w:r>
    </w:p>
    <w:p>
      <w:pPr>
        <w:spacing w:after="0" w:line="71" w:lineRule="exact"/>
        <w:rPr>
          <w:sz w:val="20"/>
          <w:szCs w:val="20"/>
          <w:color w:val="auto"/>
        </w:rPr>
      </w:pPr>
    </w:p>
    <w:p>
      <w:pPr>
        <w:ind w:left="112" w:right="40" w:hanging="112"/>
        <w:spacing w:after="0" w:line="203" w:lineRule="auto"/>
        <w:tabs>
          <w:tab w:leader="none" w:pos="112" w:val="left"/>
        </w:tabs>
        <w:numPr>
          <w:ilvl w:val="0"/>
          <w:numId w:val="50"/>
        </w:numPr>
        <w:rPr>
          <w:rFonts w:ascii="Arial" w:cs="Arial" w:eastAsia="Arial" w:hAnsi="Arial"/>
          <w:sz w:val="21"/>
          <w:szCs w:val="21"/>
          <w:color w:val="auto"/>
          <w:vertAlign w:val="superscript"/>
        </w:rPr>
      </w:pPr>
      <w:r>
        <w:rPr>
          <w:rFonts w:ascii="Arial" w:cs="Arial" w:eastAsia="Arial" w:hAnsi="Arial"/>
          <w:sz w:val="13"/>
          <w:szCs w:val="13"/>
          <w:color w:val="auto"/>
        </w:rPr>
        <w:t>The amounts in column (f) reflect the grant date fair value, determined in accordance with FASB ASC Topic 718 (without any assumption for early forfeiture), of option awards made in the year reported. Assumptions used in the calculation of these amounts for the fiscal year ended December 31, 2014 are included in Note A to Martin Marietta’s audited financial statements for the fiscal year ended December 31, 2014, included in Martin Marietta’s Annual Report on Form 10-K filed with the Securities and Exchange Commission on February 24, 2015.</w:t>
      </w:r>
    </w:p>
    <w:p>
      <w:pPr>
        <w:spacing w:after="0" w:line="70" w:lineRule="exact"/>
        <w:rPr>
          <w:sz w:val="20"/>
          <w:szCs w:val="20"/>
          <w:color w:val="auto"/>
        </w:rPr>
      </w:pPr>
    </w:p>
    <w:p>
      <w:pPr>
        <w:ind w:left="112" w:right="20" w:hanging="112"/>
        <w:spacing w:after="0" w:line="202" w:lineRule="auto"/>
        <w:tabs>
          <w:tab w:leader="none" w:pos="112"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The amounts in column (h) reflect the aggregate increase in the actuarial present value of the named executive officer’s accumulated benefits during 2014, 2013 and 2012, respectively, under all defined benefit retirement plans established by Martin Marietta determined using interest rate and mortality rate assumptions consistent with those used in Martin Marietta’s financial statements and include amounts which the named executive officer may not currently be entitled to receive because such amounts are not vested. The change in pension value and non-qualified deferred compensation earnings decreased for Ms. Lloyd and Ms. Bar from 2013 to 2014: $(97,432) and $(106,571), respectively, due to the effect of the increase in interest rates used for accounting measurement purposes.</w:t>
      </w:r>
    </w:p>
    <w:p>
      <w:pPr>
        <w:spacing w:after="0" w:line="69" w:lineRule="exact"/>
        <w:rPr>
          <w:sz w:val="20"/>
          <w:szCs w:val="20"/>
          <w:color w:val="auto"/>
        </w:rPr>
      </w:pPr>
    </w:p>
    <w:p>
      <w:pPr>
        <w:ind w:left="112" w:right="100" w:hanging="112"/>
        <w:spacing w:after="0" w:line="212" w:lineRule="auto"/>
        <w:tabs>
          <w:tab w:leader="none" w:pos="112" w:val="left"/>
        </w:tabs>
        <w:numPr>
          <w:ilvl w:val="0"/>
          <w:numId w:val="52"/>
        </w:numPr>
        <w:rPr>
          <w:rFonts w:ascii="Arial" w:cs="Arial" w:eastAsia="Arial" w:hAnsi="Arial"/>
          <w:sz w:val="21"/>
          <w:szCs w:val="21"/>
          <w:color w:val="auto"/>
          <w:vertAlign w:val="superscript"/>
        </w:rPr>
      </w:pPr>
      <w:r>
        <w:rPr>
          <w:rFonts w:ascii="Arial" w:cs="Arial" w:eastAsia="Arial" w:hAnsi="Arial"/>
          <w:sz w:val="13"/>
          <w:szCs w:val="13"/>
          <w:color w:val="auto"/>
        </w:rPr>
        <w:t>The amount shown in column (i) for 2014 reflects for each named executive officer: matching contributions allocated by Martin Marietta to each of the named executive officers pursuant to the Savings and Investment Plan, which is more fully described on page 50 under the heading “</w:t>
      </w:r>
      <w:r>
        <w:rPr>
          <w:rFonts w:ascii="Arial" w:cs="Arial" w:eastAsia="Arial" w:hAnsi="Arial"/>
          <w:sz w:val="13"/>
          <w:szCs w:val="13"/>
          <w:i w:val="1"/>
          <w:iCs w:val="1"/>
          <w:color w:val="auto"/>
        </w:rPr>
        <w:t>Retirement and Other Benefits</w:t>
      </w:r>
      <w:r>
        <w:rPr>
          <w:rFonts w:ascii="Arial" w:cs="Arial" w:eastAsia="Arial" w:hAnsi="Arial"/>
          <w:sz w:val="13"/>
          <w:szCs w:val="13"/>
          <w:color w:val="auto"/>
        </w:rPr>
        <w:t>,” the value attributable to life insurance benefits provided to the named executive officers, which is more fully described on page 50 under the heading “</w:t>
      </w:r>
      <w:r>
        <w:rPr>
          <w:rFonts w:ascii="Arial" w:cs="Arial" w:eastAsia="Arial" w:hAnsi="Arial"/>
          <w:sz w:val="13"/>
          <w:szCs w:val="13"/>
          <w:i w:val="1"/>
          <w:iCs w:val="1"/>
          <w:color w:val="auto"/>
        </w:rPr>
        <w:t>Retirement and Other Benefits</w:t>
      </w:r>
      <w:r>
        <w:rPr>
          <w:rFonts w:ascii="Arial" w:cs="Arial" w:eastAsia="Arial" w:hAnsi="Arial"/>
          <w:sz w:val="13"/>
          <w:szCs w:val="13"/>
          <w:color w:val="auto"/>
        </w:rPr>
        <w:t>”; and the value attributable to personal use of leased automobiles provided by Martin Marietta. There was no personal use of the corporate plane by any NEOs in 2014. These values are included as compensation on the W-2 of named executive officers who receive such benefits. Each such named executive officer is responsible for paying income tax on such amount. None of the All Other Compensation elements included in column</w:t>
      </w:r>
    </w:p>
    <w:p>
      <w:pPr>
        <w:spacing w:after="0" w:line="1" w:lineRule="exact"/>
        <w:rPr>
          <w:rFonts w:ascii="Arial" w:cs="Arial" w:eastAsia="Arial" w:hAnsi="Arial"/>
          <w:sz w:val="21"/>
          <w:szCs w:val="21"/>
          <w:color w:val="auto"/>
          <w:vertAlign w:val="superscript"/>
        </w:rPr>
      </w:pPr>
    </w:p>
    <w:p>
      <w:pPr>
        <w:ind w:left="112"/>
        <w:spacing w:after="0" w:line="226" w:lineRule="auto"/>
        <w:rPr>
          <w:rFonts w:ascii="Arial" w:cs="Arial" w:eastAsia="Arial" w:hAnsi="Arial"/>
          <w:sz w:val="21"/>
          <w:szCs w:val="21"/>
          <w:color w:val="auto"/>
          <w:vertAlign w:val="superscript"/>
        </w:rPr>
      </w:pPr>
      <w:r>
        <w:rPr>
          <w:rFonts w:ascii="Arial" w:cs="Arial" w:eastAsia="Arial" w:hAnsi="Arial"/>
          <w:sz w:val="14"/>
          <w:szCs w:val="14"/>
          <w:color w:val="auto"/>
        </w:rPr>
        <w:t>(i) that are not perquisites or personal benefits exceed $10,000. None of the elements that are perquisites or personal benefits exceed the greater of $25,000 or 10% of the total perquisites for each named executive officer. The amounts in column (i) also reflect the 20% discount from the market price of Martin Marietta’s common stock pursuant to the elective deferrals under the Incentive Stock Plan in each of 2014, 2013 and 2012, and the dollar value of dividend equivalents on units credited under the equity awards as computed for financial statement reporting purposes for each fiscal year ended December 31, 2014, 2013 and 2012 in accordance with FASB ASC Topic 718.</w:t>
      </w:r>
    </w:p>
    <w:p>
      <w:pPr>
        <w:ind w:left="112" w:hanging="112"/>
        <w:spacing w:after="0" w:line="219" w:lineRule="auto"/>
        <w:tabs>
          <w:tab w:leader="none" w:pos="112"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Mr. Grant was not a named executive officer for purposes of the Summary Compensation Table in 2013 or 2012.</w:t>
      </w:r>
    </w:p>
    <w:p>
      <w:pPr>
        <w:spacing w:after="0" w:line="13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12"/>
          </w:cols>
          <w:pgMar w:left="248" w:top="273"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w:t>
      </w:r>
    </w:p>
    <w:p>
      <w:pPr>
        <w:spacing w:after="0" w:line="17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table below shows each grant of an award made to a named executive officer in the fiscal year ended December 31, 2014. This includes equity awards made to the named executive officers under Martin Marietta’s Stock-Based Award Plan and the Incentive Stock Plan.</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GRANTS OF PLAN-BASED AWARDS TABLE</w:t>
      </w:r>
    </w:p>
    <w:p>
      <w:pPr>
        <w:sectPr>
          <w:pgSz w:w="11900" w:h="16838" w:orient="portrait"/>
          <w:cols w:equalWidth="0" w:num="1">
            <w:col w:w="11440"/>
          </w:cols>
          <w:pgMar w:left="240" w:top="27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Name</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(a)</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C. Howard Nye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Anne H. Lloyd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Roselyn R. Bar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 w:right="100" w:hanging="215"/>
        <w:spacing w:after="0" w:line="328" w:lineRule="auto"/>
        <w:rPr>
          <w:sz w:val="20"/>
          <w:szCs w:val="20"/>
          <w:color w:val="auto"/>
        </w:rPr>
      </w:pPr>
      <w:r>
        <w:rPr>
          <w:rFonts w:ascii="Arial" w:cs="Arial" w:eastAsia="Arial" w:hAnsi="Arial"/>
          <w:sz w:val="12"/>
          <w:szCs w:val="12"/>
          <w:b w:val="1"/>
          <w:bCs w:val="1"/>
          <w:color w:val="auto"/>
        </w:rPr>
        <w:t>Donald A. McCunniff</w:t>
      </w:r>
    </w:p>
    <w:p>
      <w:pPr>
        <w:spacing w:after="0" w:line="200" w:lineRule="exact"/>
        <w:rPr>
          <w:sz w:val="20"/>
          <w:szCs w:val="20"/>
          <w:color w:val="auto"/>
        </w:rPr>
      </w:pPr>
    </w:p>
    <w:p>
      <w:pPr>
        <w:spacing w:after="0" w:line="395"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Daniel L. Grant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45"/>
        </w:trPr>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47829E"/>
            </w:tcBorders>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4"/>
          </w:tcPr>
          <w:p>
            <w:pPr>
              <w:jc w:val="center"/>
              <w:spacing w:after="0"/>
              <w:rPr>
                <w:sz w:val="20"/>
                <w:szCs w:val="20"/>
                <w:color w:val="auto"/>
              </w:rPr>
            </w:pPr>
            <w:r>
              <w:rPr>
                <w:rFonts w:ascii="Arial" w:cs="Arial" w:eastAsia="Arial" w:hAnsi="Arial"/>
                <w:sz w:val="14"/>
                <w:szCs w:val="14"/>
                <w:b w:val="1"/>
                <w:bCs w:val="1"/>
                <w:color w:val="FFFFFF"/>
                <w:w w:val="97"/>
              </w:rPr>
              <w:t>Estimated Future Payouts</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gridSpan w:val="4"/>
          </w:tcPr>
          <w:p>
            <w:pPr>
              <w:jc w:val="center"/>
              <w:spacing w:after="0" w:line="139" w:lineRule="exact"/>
              <w:rPr>
                <w:sz w:val="20"/>
                <w:szCs w:val="20"/>
                <w:color w:val="auto"/>
              </w:rPr>
            </w:pPr>
            <w:r>
              <w:rPr>
                <w:rFonts w:ascii="Arial" w:cs="Arial" w:eastAsia="Arial" w:hAnsi="Arial"/>
                <w:sz w:val="14"/>
                <w:szCs w:val="14"/>
                <w:b w:val="1"/>
                <w:bCs w:val="1"/>
                <w:color w:val="FFFFFF"/>
                <w:w w:val="95"/>
              </w:rPr>
              <w:t>Under Non-Equity Incentive</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47829E"/>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gridSpan w:val="2"/>
          </w:tcPr>
          <w:p>
            <w:pPr>
              <w:jc w:val="center"/>
              <w:ind w:right="60"/>
              <w:spacing w:after="0" w:line="189" w:lineRule="exact"/>
              <w:rPr>
                <w:sz w:val="20"/>
                <w:szCs w:val="20"/>
                <w:color w:val="auto"/>
              </w:rPr>
            </w:pPr>
            <w:r>
              <w:rPr>
                <w:rFonts w:ascii="Arial" w:cs="Arial" w:eastAsia="Arial" w:hAnsi="Arial"/>
                <w:sz w:val="13"/>
                <w:szCs w:val="13"/>
                <w:b w:val="1"/>
                <w:bCs w:val="1"/>
                <w:color w:val="FFFFFF"/>
              </w:rPr>
              <w:t>Plan Awards</w:t>
            </w:r>
            <w:r>
              <w:rPr>
                <w:rFonts w:ascii="Arial" w:cs="Arial" w:eastAsia="Arial" w:hAnsi="Arial"/>
                <w:sz w:val="21"/>
                <w:szCs w:val="21"/>
                <w:b w:val="1"/>
                <w:bCs w:val="1"/>
                <w:color w:val="FFFFFF"/>
                <w:vertAlign w:val="superscript"/>
              </w:rPr>
              <w:t>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0" w:type="dxa"/>
            <w:vAlign w:val="bottom"/>
            <w:shd w:val="clear" w:color="auto" w:fill="47829E"/>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right w:val="single" w:sz="8" w:color="47829E"/>
            </w:tcBorders>
            <w:gridSpan w:val="2"/>
          </w:tcPr>
          <w:p>
            <w:pPr>
              <w:jc w:val="center"/>
              <w:ind w:right="104"/>
              <w:spacing w:after="0"/>
              <w:rPr>
                <w:sz w:val="20"/>
                <w:szCs w:val="20"/>
                <w:color w:val="auto"/>
              </w:rPr>
            </w:pPr>
            <w:r>
              <w:rPr>
                <w:rFonts w:ascii="Arial" w:cs="Arial" w:eastAsia="Arial" w:hAnsi="Arial"/>
                <w:sz w:val="14"/>
                <w:szCs w:val="14"/>
                <w:b w:val="1"/>
                <w:bCs w:val="1"/>
                <w:color w:val="FFFFFF"/>
                <w:w w:val="96"/>
              </w:rPr>
              <w:t>Grant</w:t>
            </w:r>
          </w:p>
        </w:tc>
        <w:tc>
          <w:tcPr>
            <w:tcW w:w="80" w:type="dxa"/>
            <w:vAlign w:val="bottom"/>
          </w:tcPr>
          <w:p>
            <w:pPr>
              <w:spacing w:after="0"/>
              <w:rPr>
                <w:sz w:val="18"/>
                <w:szCs w:val="18"/>
                <w:color w:val="auto"/>
              </w:rPr>
            </w:pPr>
          </w:p>
        </w:tc>
        <w:tc>
          <w:tcPr>
            <w:tcW w:w="820" w:type="dxa"/>
            <w:vAlign w:val="bottom"/>
            <w:tcBorders>
              <w:right w:val="single" w:sz="8" w:color="47829E"/>
            </w:tcBorders>
          </w:tcPr>
          <w:p>
            <w:pPr>
              <w:jc w:val="center"/>
              <w:spacing w:after="0"/>
              <w:rPr>
                <w:sz w:val="20"/>
                <w:szCs w:val="20"/>
                <w:color w:val="auto"/>
              </w:rPr>
            </w:pPr>
            <w:r>
              <w:rPr>
                <w:rFonts w:ascii="Arial" w:cs="Arial" w:eastAsia="Arial" w:hAnsi="Arial"/>
                <w:sz w:val="14"/>
                <w:szCs w:val="14"/>
                <w:b w:val="1"/>
                <w:bCs w:val="1"/>
                <w:color w:val="FFFFFF"/>
                <w:w w:val="97"/>
              </w:rPr>
              <w:t>Threshold</w:t>
            </w:r>
          </w:p>
        </w:tc>
        <w:tc>
          <w:tcPr>
            <w:tcW w:w="900" w:type="dxa"/>
            <w:vAlign w:val="bottom"/>
            <w:tcBorders>
              <w:right w:val="single" w:sz="8" w:color="47829E"/>
            </w:tcBorders>
          </w:tcPr>
          <w:p>
            <w:pPr>
              <w:jc w:val="right"/>
              <w:ind w:right="193"/>
              <w:spacing w:after="0"/>
              <w:rPr>
                <w:sz w:val="20"/>
                <w:szCs w:val="20"/>
                <w:color w:val="auto"/>
              </w:rPr>
            </w:pPr>
            <w:r>
              <w:rPr>
                <w:rFonts w:ascii="Arial" w:cs="Arial" w:eastAsia="Arial" w:hAnsi="Arial"/>
                <w:sz w:val="14"/>
                <w:szCs w:val="14"/>
                <w:b w:val="1"/>
                <w:bCs w:val="1"/>
                <w:color w:val="FFFFFF"/>
              </w:rPr>
              <w:t>Target</w:t>
            </w:r>
          </w:p>
        </w:tc>
        <w:tc>
          <w:tcPr>
            <w:tcW w:w="8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FFFFFF"/>
              </w:rPr>
              <w:t>Maximum</w:t>
            </w:r>
          </w:p>
        </w:tc>
        <w:tc>
          <w:tcPr>
            <w:tcW w:w="0" w:type="dxa"/>
            <w:vAlign w:val="bottom"/>
          </w:tcPr>
          <w:p>
            <w:pPr>
              <w:spacing w:after="0"/>
              <w:rPr>
                <w:sz w:val="1"/>
                <w:szCs w:val="1"/>
                <w:color w:val="auto"/>
              </w:rPr>
            </w:pPr>
          </w:p>
        </w:tc>
      </w:tr>
      <w:tr>
        <w:trPr>
          <w:trHeight w:val="165"/>
        </w:trPr>
        <w:tc>
          <w:tcPr>
            <w:tcW w:w="80" w:type="dxa"/>
            <w:vAlign w:val="bottom"/>
            <w:shd w:val="clear" w:color="auto" w:fill="47829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right w:val="single" w:sz="8" w:color="47829E"/>
            </w:tcBorders>
            <w:gridSpan w:val="2"/>
          </w:tcPr>
          <w:p>
            <w:pPr>
              <w:jc w:val="center"/>
              <w:ind w:right="104"/>
              <w:spacing w:after="0" w:line="149" w:lineRule="exact"/>
              <w:rPr>
                <w:sz w:val="20"/>
                <w:szCs w:val="20"/>
                <w:color w:val="auto"/>
              </w:rPr>
            </w:pPr>
            <w:r>
              <w:rPr>
                <w:rFonts w:ascii="Arial" w:cs="Arial" w:eastAsia="Arial" w:hAnsi="Arial"/>
                <w:sz w:val="14"/>
                <w:szCs w:val="14"/>
                <w:b w:val="1"/>
                <w:bCs w:val="1"/>
                <w:color w:val="FFFFFF"/>
                <w:w w:val="92"/>
              </w:rPr>
              <w:t>Date</w:t>
            </w:r>
          </w:p>
        </w:tc>
        <w:tc>
          <w:tcPr>
            <w:tcW w:w="900" w:type="dxa"/>
            <w:vAlign w:val="bottom"/>
            <w:tcBorders>
              <w:right w:val="single" w:sz="8" w:color="47829E"/>
            </w:tcBorders>
            <w:gridSpan w:val="2"/>
          </w:tcPr>
          <w:p>
            <w:pPr>
              <w:jc w:val="center"/>
              <w:spacing w:after="0" w:line="149" w:lineRule="exact"/>
              <w:rPr>
                <w:sz w:val="20"/>
                <w:szCs w:val="20"/>
                <w:color w:val="auto"/>
              </w:rPr>
            </w:pPr>
            <w:r>
              <w:rPr>
                <w:rFonts w:ascii="Arial" w:cs="Arial" w:eastAsia="Arial" w:hAnsi="Arial"/>
                <w:sz w:val="14"/>
                <w:szCs w:val="14"/>
                <w:b w:val="1"/>
                <w:bCs w:val="1"/>
                <w:color w:val="FFFFFF"/>
                <w:w w:val="93"/>
              </w:rPr>
              <w:t>($)</w:t>
            </w:r>
          </w:p>
        </w:tc>
        <w:tc>
          <w:tcPr>
            <w:tcW w:w="900" w:type="dxa"/>
            <w:vAlign w:val="bottom"/>
            <w:tcBorders>
              <w:right w:val="single" w:sz="8" w:color="47829E"/>
            </w:tcBorders>
          </w:tcPr>
          <w:p>
            <w:pPr>
              <w:jc w:val="right"/>
              <w:ind w:right="313"/>
              <w:spacing w:after="0" w:line="149" w:lineRule="exact"/>
              <w:rPr>
                <w:sz w:val="20"/>
                <w:szCs w:val="20"/>
                <w:color w:val="auto"/>
              </w:rPr>
            </w:pPr>
            <w:r>
              <w:rPr>
                <w:rFonts w:ascii="Arial" w:cs="Arial" w:eastAsia="Arial" w:hAnsi="Arial"/>
                <w:sz w:val="14"/>
                <w:szCs w:val="14"/>
                <w:b w:val="1"/>
                <w:bCs w:val="1"/>
                <w:color w:val="FFFFFF"/>
              </w:rPr>
              <w:t>($)</w:t>
            </w:r>
          </w:p>
        </w:tc>
        <w:tc>
          <w:tcPr>
            <w:tcW w:w="80" w:type="dxa"/>
            <w:vAlign w:val="bottom"/>
          </w:tcPr>
          <w:p>
            <w:pPr>
              <w:spacing w:after="0"/>
              <w:rPr>
                <w:sz w:val="14"/>
                <w:szCs w:val="14"/>
                <w:color w:val="auto"/>
              </w:rPr>
            </w:pPr>
          </w:p>
        </w:tc>
        <w:tc>
          <w:tcPr>
            <w:tcW w:w="780" w:type="dxa"/>
            <w:vAlign w:val="bottom"/>
          </w:tcPr>
          <w:p>
            <w:pPr>
              <w:ind w:left="300"/>
              <w:spacing w:after="0" w:line="149" w:lineRule="exact"/>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29"/>
        </w:trPr>
        <w:tc>
          <w:tcPr>
            <w:tcW w:w="80" w:type="dxa"/>
            <w:vAlign w:val="bottom"/>
            <w:tcBorders>
              <w:bottom w:val="single" w:sz="8" w:color="47829E"/>
            </w:tcBorders>
            <w:shd w:val="clear" w:color="auto" w:fill="47829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104"/>
              <w:spacing w:after="0" w:line="122" w:lineRule="exact"/>
              <w:rPr>
                <w:sz w:val="20"/>
                <w:szCs w:val="20"/>
                <w:color w:val="auto"/>
              </w:rPr>
            </w:pPr>
            <w:r>
              <w:rPr>
                <w:rFonts w:ascii="Arial" w:cs="Arial" w:eastAsia="Arial" w:hAnsi="Arial"/>
                <w:sz w:val="14"/>
                <w:szCs w:val="14"/>
                <w:b w:val="1"/>
                <w:bCs w:val="1"/>
                <w:color w:val="FFFFFF"/>
                <w:w w:val="89"/>
              </w:rPr>
              <w:t>(b)</w:t>
            </w:r>
          </w:p>
        </w:tc>
        <w:tc>
          <w:tcPr>
            <w:tcW w:w="80" w:type="dxa"/>
            <w:vAlign w:val="bottom"/>
          </w:tcPr>
          <w:p>
            <w:pPr>
              <w:spacing w:after="0"/>
              <w:rPr>
                <w:sz w:val="11"/>
                <w:szCs w:val="11"/>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4"/>
                <w:szCs w:val="14"/>
                <w:b w:val="1"/>
                <w:bCs w:val="1"/>
                <w:color w:val="FFFFFF"/>
                <w:w w:val="93"/>
              </w:rPr>
              <w:t>(c)</w:t>
            </w:r>
          </w:p>
        </w:tc>
        <w:tc>
          <w:tcPr>
            <w:tcW w:w="900" w:type="dxa"/>
            <w:vAlign w:val="bottom"/>
          </w:tcPr>
          <w:p>
            <w:pPr>
              <w:jc w:val="right"/>
              <w:ind w:right="313"/>
              <w:spacing w:after="0" w:line="122" w:lineRule="exact"/>
              <w:rPr>
                <w:sz w:val="20"/>
                <w:szCs w:val="20"/>
                <w:color w:val="auto"/>
              </w:rPr>
            </w:pPr>
            <w:r>
              <w:rPr>
                <w:rFonts w:ascii="Arial" w:cs="Arial" w:eastAsia="Arial" w:hAnsi="Arial"/>
                <w:sz w:val="14"/>
                <w:szCs w:val="14"/>
                <w:b w:val="1"/>
                <w:bCs w:val="1"/>
                <w:color w:val="FFFFFF"/>
              </w:rPr>
              <w:t>(d)</w:t>
            </w:r>
          </w:p>
        </w:tc>
        <w:tc>
          <w:tcPr>
            <w:tcW w:w="80" w:type="dxa"/>
            <w:vAlign w:val="bottom"/>
          </w:tcPr>
          <w:p>
            <w:pPr>
              <w:spacing w:after="0"/>
              <w:rPr>
                <w:sz w:val="11"/>
                <w:szCs w:val="11"/>
                <w:color w:val="auto"/>
              </w:rPr>
            </w:pPr>
          </w:p>
        </w:tc>
        <w:tc>
          <w:tcPr>
            <w:tcW w:w="780" w:type="dxa"/>
            <w:vAlign w:val="bottom"/>
          </w:tcPr>
          <w:p>
            <w:pPr>
              <w:ind w:left="300"/>
              <w:spacing w:after="0" w:line="122" w:lineRule="exact"/>
              <w:rPr>
                <w:sz w:val="20"/>
                <w:szCs w:val="20"/>
                <w:color w:val="auto"/>
              </w:rPr>
            </w:pPr>
            <w:r>
              <w:rPr>
                <w:rFonts w:ascii="Arial" w:cs="Arial" w:eastAsia="Arial" w:hAnsi="Arial"/>
                <w:sz w:val="14"/>
                <w:szCs w:val="14"/>
                <w:b w:val="1"/>
                <w:bCs w:val="1"/>
                <w:color w:val="FFFFFF"/>
              </w:rPr>
              <w:t>(e)</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right w:val="single" w:sz="8" w:color="47829E"/>
            </w:tcBorders>
            <w:gridSpan w:val="2"/>
          </w:tcPr>
          <w:p>
            <w:pPr>
              <w:jc w:val="right"/>
              <w:ind w:right="4"/>
              <w:spacing w:after="0" w:line="122" w:lineRule="exact"/>
              <w:rPr>
                <w:sz w:val="20"/>
                <w:szCs w:val="20"/>
                <w:color w:val="auto"/>
              </w:rPr>
            </w:pPr>
            <w:r>
              <w:rPr>
                <w:rFonts w:ascii="Arial" w:cs="Arial" w:eastAsia="Arial" w:hAnsi="Arial"/>
                <w:sz w:val="10"/>
                <w:szCs w:val="10"/>
                <w:color w:val="auto"/>
              </w:rPr>
              <w:t>1/20/15</w:t>
            </w:r>
            <w:r>
              <w:rPr>
                <w:rFonts w:ascii="Arial" w:cs="Arial" w:eastAsia="Arial" w:hAnsi="Arial"/>
                <w:sz w:val="14"/>
                <w:szCs w:val="14"/>
                <w:color w:val="auto"/>
                <w:vertAlign w:val="superscript"/>
              </w:rPr>
              <w:t>2</w:t>
            </w:r>
          </w:p>
        </w:tc>
        <w:tc>
          <w:tcPr>
            <w:tcW w:w="80" w:type="dxa"/>
            <w:vAlign w:val="bottom"/>
          </w:tcPr>
          <w:p>
            <w:pPr>
              <w:spacing w:after="0"/>
              <w:rPr>
                <w:sz w:val="10"/>
                <w:szCs w:val="10"/>
                <w:color w:val="auto"/>
              </w:rPr>
            </w:pPr>
          </w:p>
        </w:tc>
        <w:tc>
          <w:tcPr>
            <w:tcW w:w="820" w:type="dxa"/>
            <w:vAlign w:val="bottom"/>
            <w:tcBorders>
              <w:right w:val="single" w:sz="8" w:color="47829E"/>
            </w:tcBorders>
          </w:tcPr>
          <w:p>
            <w:pPr>
              <w:spacing w:after="0"/>
              <w:rPr>
                <w:sz w:val="10"/>
                <w:szCs w:val="10"/>
                <w:color w:val="auto"/>
              </w:rPr>
            </w:pPr>
          </w:p>
        </w:tc>
        <w:tc>
          <w:tcPr>
            <w:tcW w:w="90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right w:val="single" w:sz="8" w:color="47829E"/>
            </w:tcBorders>
            <w:gridSpan w:val="2"/>
          </w:tcPr>
          <w:p>
            <w:pPr>
              <w:jc w:val="right"/>
              <w:ind w:right="4"/>
              <w:spacing w:after="0" w:line="149" w:lineRule="exact"/>
              <w:rPr>
                <w:sz w:val="20"/>
                <w:szCs w:val="20"/>
                <w:color w:val="auto"/>
              </w:rPr>
            </w:pPr>
            <w:r>
              <w:rPr>
                <w:rFonts w:ascii="Arial" w:cs="Arial" w:eastAsia="Arial" w:hAnsi="Arial"/>
                <w:sz w:val="11"/>
                <w:szCs w:val="11"/>
                <w:color w:val="auto"/>
              </w:rPr>
              <w:t>5/24/14</w:t>
            </w:r>
            <w:r>
              <w:rPr>
                <w:rFonts w:ascii="Arial" w:cs="Arial" w:eastAsia="Arial" w:hAnsi="Arial"/>
                <w:sz w:val="17"/>
                <w:szCs w:val="17"/>
                <w:color w:val="auto"/>
                <w:vertAlign w:val="superscript"/>
              </w:rPr>
              <w:t>3</w:t>
            </w:r>
          </w:p>
        </w:tc>
        <w:tc>
          <w:tcPr>
            <w:tcW w:w="80" w:type="dxa"/>
            <w:vAlign w:val="bottom"/>
          </w:tcPr>
          <w:p>
            <w:pPr>
              <w:spacing w:after="0"/>
              <w:rPr>
                <w:sz w:val="12"/>
                <w:szCs w:val="12"/>
                <w:color w:val="auto"/>
              </w:rPr>
            </w:pPr>
          </w:p>
        </w:tc>
        <w:tc>
          <w:tcPr>
            <w:tcW w:w="82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right w:val="single" w:sz="8" w:color="47829E"/>
            </w:tcBorders>
            <w:gridSpan w:val="2"/>
          </w:tcPr>
          <w:p>
            <w:pPr>
              <w:jc w:val="right"/>
              <w:ind w:right="4"/>
              <w:spacing w:after="0" w:line="149" w:lineRule="exact"/>
              <w:rPr>
                <w:sz w:val="20"/>
                <w:szCs w:val="20"/>
                <w:color w:val="auto"/>
              </w:rPr>
            </w:pPr>
            <w:r>
              <w:rPr>
                <w:rFonts w:ascii="Arial" w:cs="Arial" w:eastAsia="Arial" w:hAnsi="Arial"/>
                <w:sz w:val="11"/>
                <w:szCs w:val="11"/>
                <w:color w:val="auto"/>
              </w:rPr>
              <w:t>5/24/14</w:t>
            </w:r>
            <w:r>
              <w:rPr>
                <w:rFonts w:ascii="Arial" w:cs="Arial" w:eastAsia="Arial" w:hAnsi="Arial"/>
                <w:sz w:val="17"/>
                <w:szCs w:val="17"/>
                <w:color w:val="auto"/>
                <w:vertAlign w:val="superscript"/>
              </w:rPr>
              <w:t>4</w:t>
            </w:r>
          </w:p>
        </w:tc>
        <w:tc>
          <w:tcPr>
            <w:tcW w:w="80" w:type="dxa"/>
            <w:vAlign w:val="bottom"/>
          </w:tcPr>
          <w:p>
            <w:pPr>
              <w:spacing w:after="0"/>
              <w:rPr>
                <w:sz w:val="12"/>
                <w:szCs w:val="12"/>
                <w:color w:val="auto"/>
              </w:rPr>
            </w:pPr>
          </w:p>
        </w:tc>
        <w:tc>
          <w:tcPr>
            <w:tcW w:w="82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right w:val="single" w:sz="8" w:color="47829E"/>
            </w:tcBorders>
            <w:gridSpan w:val="2"/>
          </w:tcPr>
          <w:p>
            <w:pPr>
              <w:jc w:val="right"/>
              <w:ind w:right="4"/>
              <w:spacing w:after="0" w:line="149" w:lineRule="exact"/>
              <w:rPr>
                <w:sz w:val="20"/>
                <w:szCs w:val="20"/>
                <w:color w:val="auto"/>
              </w:rPr>
            </w:pPr>
            <w:r>
              <w:rPr>
                <w:rFonts w:ascii="Arial" w:cs="Arial" w:eastAsia="Arial" w:hAnsi="Arial"/>
                <w:sz w:val="11"/>
                <w:szCs w:val="11"/>
                <w:color w:val="auto"/>
              </w:rPr>
              <w:t>8/21/14</w:t>
            </w:r>
            <w:r>
              <w:rPr>
                <w:rFonts w:ascii="Arial" w:cs="Arial" w:eastAsia="Arial" w:hAnsi="Arial"/>
                <w:sz w:val="17"/>
                <w:szCs w:val="17"/>
                <w:color w:val="auto"/>
                <w:vertAlign w:val="superscript"/>
              </w:rPr>
              <w:t>5</w:t>
            </w:r>
          </w:p>
        </w:tc>
        <w:tc>
          <w:tcPr>
            <w:tcW w:w="80" w:type="dxa"/>
            <w:vAlign w:val="bottom"/>
          </w:tcPr>
          <w:p>
            <w:pPr>
              <w:spacing w:after="0"/>
              <w:rPr>
                <w:sz w:val="12"/>
                <w:szCs w:val="12"/>
                <w:color w:val="auto"/>
              </w:rPr>
            </w:pPr>
          </w:p>
        </w:tc>
        <w:tc>
          <w:tcPr>
            <w:tcW w:w="82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right w:val="single" w:sz="8" w:color="47829E"/>
            </w:tcBorders>
            <w:gridSpan w:val="2"/>
          </w:tcPr>
          <w:p>
            <w:pPr>
              <w:jc w:val="right"/>
              <w:ind w:right="4"/>
              <w:spacing w:after="0" w:line="149" w:lineRule="exact"/>
              <w:rPr>
                <w:sz w:val="20"/>
                <w:szCs w:val="20"/>
                <w:color w:val="auto"/>
              </w:rPr>
            </w:pPr>
            <w:r>
              <w:rPr>
                <w:rFonts w:ascii="Arial" w:cs="Arial" w:eastAsia="Arial" w:hAnsi="Arial"/>
                <w:sz w:val="11"/>
                <w:szCs w:val="11"/>
                <w:color w:val="auto"/>
              </w:rPr>
              <w:t>8/21/14</w:t>
            </w:r>
            <w:r>
              <w:rPr>
                <w:rFonts w:ascii="Arial" w:cs="Arial" w:eastAsia="Arial" w:hAnsi="Arial"/>
                <w:sz w:val="17"/>
                <w:szCs w:val="17"/>
                <w:color w:val="auto"/>
                <w:vertAlign w:val="superscript"/>
              </w:rPr>
              <w:t>6</w:t>
            </w:r>
          </w:p>
        </w:tc>
        <w:tc>
          <w:tcPr>
            <w:tcW w:w="80" w:type="dxa"/>
            <w:vAlign w:val="bottom"/>
          </w:tcPr>
          <w:p>
            <w:pPr>
              <w:spacing w:after="0"/>
              <w:rPr>
                <w:sz w:val="12"/>
                <w:szCs w:val="12"/>
                <w:color w:val="auto"/>
              </w:rPr>
            </w:pPr>
          </w:p>
        </w:tc>
        <w:tc>
          <w:tcPr>
            <w:tcW w:w="82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right w:val="single" w:sz="8" w:color="47829E"/>
            </w:tcBorders>
            <w:gridSpan w:val="2"/>
          </w:tcPr>
          <w:p>
            <w:pPr>
              <w:jc w:val="right"/>
              <w:ind w:right="4"/>
              <w:spacing w:after="0" w:line="149" w:lineRule="exact"/>
              <w:rPr>
                <w:sz w:val="20"/>
                <w:szCs w:val="20"/>
                <w:color w:val="auto"/>
              </w:rPr>
            </w:pPr>
            <w:r>
              <w:rPr>
                <w:rFonts w:ascii="Arial" w:cs="Arial" w:eastAsia="Arial" w:hAnsi="Arial"/>
                <w:sz w:val="11"/>
                <w:szCs w:val="11"/>
                <w:color w:val="auto"/>
              </w:rPr>
              <w:t>1/20/15</w:t>
            </w:r>
            <w:r>
              <w:rPr>
                <w:rFonts w:ascii="Arial" w:cs="Arial" w:eastAsia="Arial" w:hAnsi="Arial"/>
                <w:sz w:val="17"/>
                <w:szCs w:val="17"/>
                <w:color w:val="auto"/>
                <w:vertAlign w:val="superscript"/>
              </w:rPr>
              <w:t>2</w:t>
            </w:r>
          </w:p>
        </w:tc>
        <w:tc>
          <w:tcPr>
            <w:tcW w:w="80" w:type="dxa"/>
            <w:vAlign w:val="bottom"/>
          </w:tcPr>
          <w:p>
            <w:pPr>
              <w:spacing w:after="0"/>
              <w:rPr>
                <w:sz w:val="12"/>
                <w:szCs w:val="12"/>
                <w:color w:val="auto"/>
              </w:rPr>
            </w:pPr>
          </w:p>
        </w:tc>
        <w:tc>
          <w:tcPr>
            <w:tcW w:w="82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408,620</w:t>
            </w:r>
          </w:p>
        </w:tc>
        <w:tc>
          <w:tcPr>
            <w:tcW w:w="80" w:type="dxa"/>
            <w:vAlign w:val="bottom"/>
          </w:tcPr>
          <w:p>
            <w:pPr>
              <w:spacing w:after="0"/>
              <w:rPr>
                <w:sz w:val="12"/>
                <w:szCs w:val="12"/>
                <w:color w:val="auto"/>
              </w:rPr>
            </w:pPr>
          </w:p>
        </w:tc>
        <w:tc>
          <w:tcPr>
            <w:tcW w:w="780" w:type="dxa"/>
            <w:vAlign w:val="bottom"/>
          </w:tcPr>
          <w:p>
            <w:pPr>
              <w:ind w:left="280"/>
              <w:spacing w:after="0" w:line="149" w:lineRule="exact"/>
              <w:rPr>
                <w:sz w:val="20"/>
                <w:szCs w:val="20"/>
                <w:color w:val="auto"/>
              </w:rPr>
            </w:pPr>
            <w:r>
              <w:rPr>
                <w:rFonts w:ascii="Arial" w:cs="Arial" w:eastAsia="Arial" w:hAnsi="Arial"/>
                <w:sz w:val="14"/>
                <w:szCs w:val="14"/>
                <w:color w:val="auto"/>
                <w:w w:val="94"/>
              </w:rPr>
              <w:t>612,930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right w:val="single" w:sz="8" w:color="47829E"/>
            </w:tcBorders>
            <w:gridSpan w:val="2"/>
            <w:vMerge w:val="restart"/>
          </w:tcPr>
          <w:p>
            <w:pPr>
              <w:jc w:val="right"/>
              <w:ind w:right="4"/>
              <w:spacing w:after="0" w:line="149" w:lineRule="exact"/>
              <w:rPr>
                <w:sz w:val="20"/>
                <w:szCs w:val="20"/>
                <w:color w:val="auto"/>
              </w:rPr>
            </w:pPr>
            <w:r>
              <w:rPr>
                <w:rFonts w:ascii="Arial" w:cs="Arial" w:eastAsia="Arial" w:hAnsi="Arial"/>
                <w:sz w:val="11"/>
                <w:szCs w:val="11"/>
                <w:color w:val="auto"/>
              </w:rPr>
              <w:t>1/20/15</w:t>
            </w:r>
            <w:r>
              <w:rPr>
                <w:rFonts w:ascii="Arial" w:cs="Arial" w:eastAsia="Arial" w:hAnsi="Arial"/>
                <w:sz w:val="17"/>
                <w:szCs w:val="17"/>
                <w:color w:val="auto"/>
                <w:vertAlign w:val="superscript"/>
              </w:rPr>
              <w:t>2</w:t>
            </w:r>
          </w:p>
        </w:tc>
        <w:tc>
          <w:tcPr>
            <w:tcW w:w="80" w:type="dxa"/>
            <w:vAlign w:val="bottom"/>
          </w:tcPr>
          <w:p>
            <w:pPr>
              <w:spacing w:after="0"/>
              <w:rPr>
                <w:sz w:val="2"/>
                <w:szCs w:val="2"/>
                <w:color w:val="auto"/>
              </w:rPr>
            </w:pPr>
          </w:p>
        </w:tc>
        <w:tc>
          <w:tcPr>
            <w:tcW w:w="820" w:type="dxa"/>
            <w:vAlign w:val="bottom"/>
            <w:tcBorders>
              <w:right w:val="single" w:sz="8" w:color="47829E"/>
            </w:tcBorders>
          </w:tcPr>
          <w:p>
            <w:pPr>
              <w:spacing w:after="0"/>
              <w:rPr>
                <w:sz w:val="2"/>
                <w:szCs w:val="2"/>
                <w:color w:val="auto"/>
              </w:rPr>
            </w:pPr>
          </w:p>
        </w:tc>
        <w:tc>
          <w:tcPr>
            <w:tcW w:w="900" w:type="dxa"/>
            <w:vAlign w:val="bottom"/>
            <w:tcBorders>
              <w:right w:val="single" w:sz="8" w:color="47829E"/>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0" w:type="dxa"/>
            <w:vAlign w:val="bottom"/>
          </w:tcPr>
          <w:p>
            <w:pPr>
              <w:spacing w:after="0"/>
              <w:rPr>
                <w:sz w:val="10"/>
                <w:szCs w:val="10"/>
                <w:color w:val="auto"/>
              </w:rPr>
            </w:pPr>
          </w:p>
        </w:tc>
        <w:tc>
          <w:tcPr>
            <w:tcW w:w="40" w:type="dxa"/>
            <w:vAlign w:val="bottom"/>
            <w:shd w:val="clear" w:color="auto" w:fill="E3ECF0"/>
          </w:tcPr>
          <w:p>
            <w:pPr>
              <w:spacing w:after="0"/>
              <w:rPr>
                <w:sz w:val="10"/>
                <w:szCs w:val="10"/>
                <w:color w:val="auto"/>
              </w:rPr>
            </w:pPr>
          </w:p>
        </w:tc>
        <w:tc>
          <w:tcPr>
            <w:tcW w:w="760" w:type="dxa"/>
            <w:vAlign w:val="bottom"/>
            <w:tcBorders>
              <w:right w:val="single" w:sz="8" w:color="47829E"/>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47829E"/>
            </w:tcBorders>
          </w:tcPr>
          <w:p>
            <w:pPr>
              <w:spacing w:after="0"/>
              <w:rPr>
                <w:sz w:val="10"/>
                <w:szCs w:val="10"/>
                <w:color w:val="auto"/>
              </w:rPr>
            </w:pPr>
          </w:p>
        </w:tc>
        <w:tc>
          <w:tcPr>
            <w:tcW w:w="90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0" w:type="dxa"/>
            <w:vAlign w:val="bottom"/>
            <w:shd w:val="clear" w:color="auto" w:fill="E3ECF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47829E"/>
            </w:tcBorders>
            <w:vMerge w:val="restart"/>
          </w:tcPr>
          <w:p>
            <w:pPr>
              <w:jc w:val="right"/>
              <w:ind w:right="4"/>
              <w:spacing w:after="0"/>
              <w:rPr>
                <w:sz w:val="20"/>
                <w:szCs w:val="20"/>
                <w:color w:val="auto"/>
              </w:rPr>
            </w:pPr>
            <w:r>
              <w:rPr>
                <w:rFonts w:ascii="Arial" w:cs="Arial" w:eastAsia="Arial" w:hAnsi="Arial"/>
                <w:sz w:val="11"/>
                <w:szCs w:val="11"/>
                <w:color w:val="auto"/>
                <w:w w:val="97"/>
              </w:rPr>
              <w:t>3</w:t>
            </w:r>
          </w:p>
        </w:tc>
        <w:tc>
          <w:tcPr>
            <w:tcW w:w="80" w:type="dxa"/>
            <w:vAlign w:val="bottom"/>
          </w:tcPr>
          <w:p>
            <w:pPr>
              <w:spacing w:after="0"/>
              <w:rPr>
                <w:sz w:val="2"/>
                <w:szCs w:val="2"/>
                <w:color w:val="auto"/>
              </w:rPr>
            </w:pPr>
          </w:p>
        </w:tc>
        <w:tc>
          <w:tcPr>
            <w:tcW w:w="820" w:type="dxa"/>
            <w:vAlign w:val="bottom"/>
            <w:tcBorders>
              <w:right w:val="single" w:sz="8" w:color="47829E"/>
            </w:tcBorders>
          </w:tcPr>
          <w:p>
            <w:pPr>
              <w:spacing w:after="0"/>
              <w:rPr>
                <w:sz w:val="2"/>
                <w:szCs w:val="2"/>
                <w:color w:val="auto"/>
              </w:rPr>
            </w:pPr>
          </w:p>
        </w:tc>
        <w:tc>
          <w:tcPr>
            <w:tcW w:w="900" w:type="dxa"/>
            <w:vAlign w:val="bottom"/>
            <w:tcBorders>
              <w:right w:val="single" w:sz="8" w:color="47829E"/>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 w:type="dxa"/>
            <w:vAlign w:val="bottom"/>
          </w:tcPr>
          <w:p>
            <w:pPr>
              <w:spacing w:after="0"/>
              <w:rPr>
                <w:sz w:val="12"/>
                <w:szCs w:val="12"/>
                <w:color w:val="auto"/>
              </w:rPr>
            </w:pPr>
          </w:p>
        </w:tc>
        <w:tc>
          <w:tcPr>
            <w:tcW w:w="40" w:type="dxa"/>
            <w:vAlign w:val="bottom"/>
            <w:shd w:val="clear" w:color="auto" w:fill="E3ECF0"/>
          </w:tcPr>
          <w:p>
            <w:pPr>
              <w:spacing w:after="0"/>
              <w:rPr>
                <w:sz w:val="12"/>
                <w:szCs w:val="12"/>
                <w:color w:val="auto"/>
              </w:rPr>
            </w:pPr>
          </w:p>
        </w:tc>
        <w:tc>
          <w:tcPr>
            <w:tcW w:w="620" w:type="dxa"/>
            <w:vAlign w:val="bottom"/>
            <w:shd w:val="clear" w:color="auto" w:fill="E3ECF0"/>
          </w:tcPr>
          <w:p>
            <w:pPr>
              <w:jc w:val="right"/>
              <w:spacing w:after="0" w:line="148" w:lineRule="exact"/>
              <w:rPr>
                <w:sz w:val="20"/>
                <w:szCs w:val="20"/>
                <w:color w:val="auto"/>
              </w:rPr>
            </w:pPr>
            <w:r>
              <w:rPr>
                <w:rFonts w:ascii="Arial" w:cs="Arial" w:eastAsia="Arial" w:hAnsi="Arial"/>
                <w:sz w:val="14"/>
                <w:szCs w:val="14"/>
                <w:color w:val="auto"/>
              </w:rPr>
              <w:t>5/24/14</w:t>
            </w:r>
          </w:p>
        </w:tc>
        <w:tc>
          <w:tcPr>
            <w:tcW w:w="140" w:type="dxa"/>
            <w:vAlign w:val="bottom"/>
            <w:tcBorders>
              <w:right w:val="single" w:sz="8" w:color="47829E"/>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40" w:type="dxa"/>
            <w:vAlign w:val="bottom"/>
            <w:shd w:val="clear" w:color="auto" w:fill="E3ECF0"/>
          </w:tcPr>
          <w:p>
            <w:pPr>
              <w:spacing w:after="0"/>
              <w:rPr>
                <w:sz w:val="10"/>
                <w:szCs w:val="10"/>
                <w:color w:val="auto"/>
              </w:rPr>
            </w:pPr>
          </w:p>
        </w:tc>
        <w:tc>
          <w:tcPr>
            <w:tcW w:w="620" w:type="dxa"/>
            <w:vAlign w:val="bottom"/>
            <w:shd w:val="clear" w:color="auto" w:fill="E3ECF0"/>
          </w:tcPr>
          <w:p>
            <w:pPr>
              <w:jc w:val="right"/>
              <w:spacing w:after="0" w:line="123" w:lineRule="exact"/>
              <w:rPr>
                <w:sz w:val="20"/>
                <w:szCs w:val="20"/>
                <w:color w:val="auto"/>
              </w:rPr>
            </w:pPr>
            <w:r>
              <w:rPr>
                <w:rFonts w:ascii="Arial" w:cs="Arial" w:eastAsia="Arial" w:hAnsi="Arial"/>
                <w:sz w:val="14"/>
                <w:szCs w:val="14"/>
                <w:color w:val="auto"/>
              </w:rPr>
              <w:t>5/24/14</w:t>
            </w:r>
          </w:p>
        </w:tc>
        <w:tc>
          <w:tcPr>
            <w:tcW w:w="140" w:type="dxa"/>
            <w:vAlign w:val="bottom"/>
            <w:tcBorders>
              <w:right w:val="single" w:sz="8" w:color="47829E"/>
            </w:tcBorders>
            <w:shd w:val="clear" w:color="auto" w:fill="E3ECF0"/>
          </w:tcPr>
          <w:p>
            <w:pPr>
              <w:jc w:val="right"/>
              <w:ind w:right="4"/>
              <w:spacing w:after="0" w:line="122" w:lineRule="exact"/>
              <w:rPr>
                <w:sz w:val="20"/>
                <w:szCs w:val="20"/>
                <w:color w:val="auto"/>
              </w:rPr>
            </w:pPr>
            <w:r>
              <w:rPr>
                <w:rFonts w:ascii="Arial" w:cs="Arial" w:eastAsia="Arial" w:hAnsi="Arial"/>
                <w:sz w:val="11"/>
                <w:szCs w:val="11"/>
                <w:color w:val="auto"/>
                <w:w w:val="97"/>
              </w:rPr>
              <w:t>4</w:t>
            </w:r>
          </w:p>
        </w:tc>
        <w:tc>
          <w:tcPr>
            <w:tcW w:w="80" w:type="dxa"/>
            <w:vAlign w:val="bottom"/>
          </w:tcPr>
          <w:p>
            <w:pPr>
              <w:spacing w:after="0"/>
              <w:rPr>
                <w:sz w:val="10"/>
                <w:szCs w:val="10"/>
                <w:color w:val="auto"/>
              </w:rPr>
            </w:pPr>
          </w:p>
        </w:tc>
        <w:tc>
          <w:tcPr>
            <w:tcW w:w="820" w:type="dxa"/>
            <w:vAlign w:val="bottom"/>
            <w:tcBorders>
              <w:right w:val="single" w:sz="8" w:color="47829E"/>
            </w:tcBorders>
          </w:tcPr>
          <w:p>
            <w:pPr>
              <w:spacing w:after="0"/>
              <w:rPr>
                <w:sz w:val="10"/>
                <w:szCs w:val="10"/>
                <w:color w:val="auto"/>
              </w:rPr>
            </w:pPr>
          </w:p>
        </w:tc>
        <w:tc>
          <w:tcPr>
            <w:tcW w:w="90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0" w:type="dxa"/>
            <w:vAlign w:val="bottom"/>
            <w:shd w:val="clear" w:color="auto" w:fill="E3ECF0"/>
          </w:tcPr>
          <w:p>
            <w:pPr>
              <w:spacing w:after="0"/>
              <w:rPr>
                <w:sz w:val="2"/>
                <w:szCs w:val="2"/>
                <w:color w:val="auto"/>
              </w:rPr>
            </w:pPr>
          </w:p>
        </w:tc>
        <w:tc>
          <w:tcPr>
            <w:tcW w:w="620" w:type="dxa"/>
            <w:vAlign w:val="bottom"/>
            <w:vMerge w:val="restart"/>
            <w:shd w:val="clear" w:color="auto" w:fill="E3ECF0"/>
          </w:tcPr>
          <w:p>
            <w:pPr>
              <w:jc w:val="right"/>
              <w:spacing w:after="0" w:line="149" w:lineRule="exact"/>
              <w:rPr>
                <w:sz w:val="20"/>
                <w:szCs w:val="20"/>
                <w:color w:val="auto"/>
              </w:rPr>
            </w:pPr>
            <w:r>
              <w:rPr>
                <w:rFonts w:ascii="Arial" w:cs="Arial" w:eastAsia="Arial" w:hAnsi="Arial"/>
                <w:sz w:val="14"/>
                <w:szCs w:val="14"/>
                <w:color w:val="auto"/>
              </w:rPr>
              <w:t>8/21/14</w:t>
            </w:r>
          </w:p>
        </w:tc>
        <w:tc>
          <w:tcPr>
            <w:tcW w:w="140" w:type="dxa"/>
            <w:vAlign w:val="bottom"/>
            <w:tcBorders>
              <w:right w:val="single" w:sz="8" w:color="47829E"/>
            </w:tcBorders>
            <w:vMerge w:val="restart"/>
            <w:shd w:val="clear" w:color="auto" w:fill="E3ECF0"/>
          </w:tcPr>
          <w:p>
            <w:pPr>
              <w:jc w:val="right"/>
              <w:ind w:right="4"/>
              <w:spacing w:after="0"/>
              <w:rPr>
                <w:sz w:val="20"/>
                <w:szCs w:val="20"/>
                <w:color w:val="auto"/>
              </w:rPr>
            </w:pPr>
            <w:r>
              <w:rPr>
                <w:rFonts w:ascii="Arial" w:cs="Arial" w:eastAsia="Arial" w:hAnsi="Arial"/>
                <w:sz w:val="11"/>
                <w:szCs w:val="11"/>
                <w:color w:val="auto"/>
                <w:w w:val="97"/>
              </w:rPr>
              <w:t>5</w:t>
            </w:r>
          </w:p>
        </w:tc>
        <w:tc>
          <w:tcPr>
            <w:tcW w:w="80" w:type="dxa"/>
            <w:vAlign w:val="bottom"/>
          </w:tcPr>
          <w:p>
            <w:pPr>
              <w:spacing w:after="0"/>
              <w:rPr>
                <w:sz w:val="2"/>
                <w:szCs w:val="2"/>
                <w:color w:val="auto"/>
              </w:rPr>
            </w:pPr>
          </w:p>
        </w:tc>
        <w:tc>
          <w:tcPr>
            <w:tcW w:w="820" w:type="dxa"/>
            <w:vAlign w:val="bottom"/>
            <w:tcBorders>
              <w:right w:val="single" w:sz="8" w:color="47829E"/>
            </w:tcBorders>
          </w:tcPr>
          <w:p>
            <w:pPr>
              <w:spacing w:after="0"/>
              <w:rPr>
                <w:sz w:val="2"/>
                <w:szCs w:val="2"/>
                <w:color w:val="auto"/>
              </w:rPr>
            </w:pPr>
          </w:p>
        </w:tc>
        <w:tc>
          <w:tcPr>
            <w:tcW w:w="900" w:type="dxa"/>
            <w:vAlign w:val="bottom"/>
            <w:tcBorders>
              <w:right w:val="single" w:sz="8" w:color="47829E"/>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0" w:type="dxa"/>
            <w:vAlign w:val="bottom"/>
          </w:tcPr>
          <w:p>
            <w:pPr>
              <w:spacing w:after="0"/>
              <w:rPr>
                <w:sz w:val="10"/>
                <w:szCs w:val="10"/>
                <w:color w:val="auto"/>
              </w:rPr>
            </w:pPr>
          </w:p>
        </w:tc>
        <w:tc>
          <w:tcPr>
            <w:tcW w:w="40" w:type="dxa"/>
            <w:vAlign w:val="bottom"/>
            <w:shd w:val="clear" w:color="auto" w:fill="E3ECF0"/>
          </w:tcPr>
          <w:p>
            <w:pPr>
              <w:spacing w:after="0"/>
              <w:rPr>
                <w:sz w:val="10"/>
                <w:szCs w:val="10"/>
                <w:color w:val="auto"/>
              </w:rPr>
            </w:pPr>
          </w:p>
        </w:tc>
        <w:tc>
          <w:tcPr>
            <w:tcW w:w="620" w:type="dxa"/>
            <w:vAlign w:val="bottom"/>
            <w:vMerge w:val="continue"/>
            <w:shd w:val="clear" w:color="auto" w:fill="E3ECF0"/>
          </w:tcPr>
          <w:p>
            <w:pPr>
              <w:spacing w:after="0"/>
              <w:rPr>
                <w:sz w:val="10"/>
                <w:szCs w:val="10"/>
                <w:color w:val="auto"/>
              </w:rPr>
            </w:pPr>
          </w:p>
        </w:tc>
        <w:tc>
          <w:tcPr>
            <w:tcW w:w="140" w:type="dxa"/>
            <w:vAlign w:val="bottom"/>
            <w:tcBorders>
              <w:right w:val="single" w:sz="8" w:color="47829E"/>
            </w:tcBorders>
            <w:vMerge w:val="continue"/>
            <w:shd w:val="clear" w:color="auto" w:fill="E3ECF0"/>
          </w:tcPr>
          <w:p>
            <w:pPr>
              <w:spacing w:after="0"/>
              <w:rPr>
                <w:sz w:val="10"/>
                <w:szCs w:val="10"/>
                <w:color w:val="auto"/>
              </w:rPr>
            </w:pPr>
          </w:p>
        </w:tc>
        <w:tc>
          <w:tcPr>
            <w:tcW w:w="80" w:type="dxa"/>
            <w:vAlign w:val="bottom"/>
            <w:shd w:val="clear" w:color="auto" w:fill="E3ECF0"/>
          </w:tcPr>
          <w:p>
            <w:pPr>
              <w:spacing w:after="0"/>
              <w:rPr>
                <w:sz w:val="10"/>
                <w:szCs w:val="10"/>
                <w:color w:val="auto"/>
              </w:rPr>
            </w:pPr>
          </w:p>
        </w:tc>
        <w:tc>
          <w:tcPr>
            <w:tcW w:w="820" w:type="dxa"/>
            <w:vAlign w:val="bottom"/>
            <w:tcBorders>
              <w:right w:val="single" w:sz="8" w:color="47829E"/>
            </w:tcBorders>
          </w:tcPr>
          <w:p>
            <w:pPr>
              <w:spacing w:after="0"/>
              <w:rPr>
                <w:sz w:val="10"/>
                <w:szCs w:val="10"/>
                <w:color w:val="auto"/>
              </w:rPr>
            </w:pPr>
          </w:p>
        </w:tc>
        <w:tc>
          <w:tcPr>
            <w:tcW w:w="90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40" w:type="dxa"/>
            <w:vAlign w:val="bottom"/>
            <w:shd w:val="clear" w:color="auto" w:fill="E3ECF0"/>
          </w:tcPr>
          <w:p>
            <w:pPr>
              <w:spacing w:after="0"/>
              <w:rPr>
                <w:sz w:val="15"/>
                <w:szCs w:val="15"/>
                <w:color w:val="auto"/>
              </w:rPr>
            </w:pPr>
          </w:p>
        </w:tc>
        <w:tc>
          <w:tcPr>
            <w:tcW w:w="620" w:type="dxa"/>
            <w:vAlign w:val="bottom"/>
            <w:shd w:val="clear" w:color="auto" w:fill="E3ECF0"/>
          </w:tcPr>
          <w:p>
            <w:pPr>
              <w:jc w:val="right"/>
              <w:spacing w:after="0"/>
              <w:rPr>
                <w:sz w:val="20"/>
                <w:szCs w:val="20"/>
                <w:color w:val="auto"/>
              </w:rPr>
            </w:pPr>
            <w:r>
              <w:rPr>
                <w:rFonts w:ascii="Arial" w:cs="Arial" w:eastAsia="Arial" w:hAnsi="Arial"/>
                <w:sz w:val="14"/>
                <w:szCs w:val="14"/>
                <w:color w:val="auto"/>
              </w:rPr>
              <w:t>8/21/14</w:t>
            </w:r>
          </w:p>
        </w:tc>
        <w:tc>
          <w:tcPr>
            <w:tcW w:w="140" w:type="dxa"/>
            <w:vAlign w:val="bottom"/>
            <w:tcBorders>
              <w:right w:val="single" w:sz="8" w:color="47829E"/>
            </w:tcBorders>
            <w:shd w:val="clear" w:color="auto" w:fill="E3ECF0"/>
          </w:tcPr>
          <w:p>
            <w:pPr>
              <w:jc w:val="right"/>
              <w:ind w:right="4"/>
              <w:spacing w:after="0"/>
              <w:rPr>
                <w:sz w:val="20"/>
                <w:szCs w:val="20"/>
                <w:color w:val="auto"/>
              </w:rPr>
            </w:pPr>
            <w:r>
              <w:rPr>
                <w:rFonts w:ascii="Arial" w:cs="Arial" w:eastAsia="Arial" w:hAnsi="Arial"/>
                <w:sz w:val="11"/>
                <w:szCs w:val="11"/>
                <w:color w:val="auto"/>
                <w:w w:val="97"/>
              </w:rPr>
              <w:t>6</w:t>
            </w:r>
          </w:p>
        </w:tc>
        <w:tc>
          <w:tcPr>
            <w:tcW w:w="80" w:type="dxa"/>
            <w:vAlign w:val="bottom"/>
            <w:shd w:val="clear" w:color="auto" w:fill="E3ECF0"/>
          </w:tcPr>
          <w:p>
            <w:pPr>
              <w:spacing w:after="0"/>
              <w:rPr>
                <w:sz w:val="15"/>
                <w:szCs w:val="15"/>
                <w:color w:val="auto"/>
              </w:rPr>
            </w:pPr>
          </w:p>
        </w:tc>
        <w:tc>
          <w:tcPr>
            <w:tcW w:w="820" w:type="dxa"/>
            <w:vAlign w:val="bottom"/>
            <w:tcBorders>
              <w:right w:val="single" w:sz="8" w:color="47829E"/>
            </w:tcBorders>
          </w:tcPr>
          <w:p>
            <w:pPr>
              <w:spacing w:after="0"/>
              <w:rPr>
                <w:sz w:val="15"/>
                <w:szCs w:val="15"/>
                <w:color w:val="auto"/>
              </w:rPr>
            </w:pPr>
          </w:p>
        </w:tc>
        <w:tc>
          <w:tcPr>
            <w:tcW w:w="900" w:type="dxa"/>
            <w:vAlign w:val="bottom"/>
            <w:tcBorders>
              <w:right w:val="single" w:sz="8" w:color="47829E"/>
            </w:tcBorders>
            <w:vMerge w:val="restart"/>
          </w:tcPr>
          <w:p>
            <w:pPr>
              <w:jc w:val="right"/>
              <w:ind w:right="33"/>
              <w:spacing w:after="0"/>
              <w:rPr>
                <w:sz w:val="20"/>
                <w:szCs w:val="20"/>
                <w:color w:val="auto"/>
              </w:rPr>
            </w:pPr>
            <w:r>
              <w:rPr>
                <w:rFonts w:ascii="Arial" w:cs="Arial" w:eastAsia="Arial" w:hAnsi="Arial"/>
                <w:sz w:val="14"/>
                <w:szCs w:val="14"/>
                <w:color w:val="auto"/>
              </w:rPr>
              <w:t>297,847</w:t>
            </w:r>
          </w:p>
        </w:tc>
        <w:tc>
          <w:tcPr>
            <w:tcW w:w="80" w:type="dxa"/>
            <w:vAlign w:val="bottom"/>
          </w:tcPr>
          <w:p>
            <w:pPr>
              <w:spacing w:after="0"/>
              <w:rPr>
                <w:sz w:val="15"/>
                <w:szCs w:val="15"/>
                <w:color w:val="auto"/>
              </w:rPr>
            </w:pPr>
          </w:p>
        </w:tc>
        <w:tc>
          <w:tcPr>
            <w:tcW w:w="780" w:type="dxa"/>
            <w:vAlign w:val="bottom"/>
            <w:vMerge w:val="restart"/>
          </w:tcPr>
          <w:p>
            <w:pPr>
              <w:ind w:left="280"/>
              <w:spacing w:after="0"/>
              <w:rPr>
                <w:sz w:val="20"/>
                <w:szCs w:val="20"/>
                <w:color w:val="auto"/>
              </w:rPr>
            </w:pPr>
            <w:r>
              <w:rPr>
                <w:rFonts w:ascii="Arial" w:cs="Arial" w:eastAsia="Arial" w:hAnsi="Arial"/>
                <w:sz w:val="14"/>
                <w:szCs w:val="14"/>
                <w:color w:val="auto"/>
                <w:w w:val="94"/>
              </w:rPr>
              <w:t>446,770</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4"/>
                <w:szCs w:val="14"/>
                <w:color w:val="auto"/>
              </w:rPr>
              <w:t>1/20/15</w:t>
            </w:r>
          </w:p>
        </w:tc>
        <w:tc>
          <w:tcPr>
            <w:tcW w:w="140" w:type="dxa"/>
            <w:vAlign w:val="bottom"/>
            <w:tcBorders>
              <w:right w:val="single" w:sz="8" w:color="47829E"/>
            </w:tcBorders>
          </w:tcPr>
          <w:p>
            <w:pPr>
              <w:jc w:val="right"/>
              <w:ind w:right="4"/>
              <w:spacing w:after="0" w:line="122" w:lineRule="exact"/>
              <w:rPr>
                <w:sz w:val="20"/>
                <w:szCs w:val="20"/>
                <w:color w:val="auto"/>
              </w:rPr>
            </w:pPr>
            <w:r>
              <w:rPr>
                <w:rFonts w:ascii="Arial" w:cs="Arial" w:eastAsia="Arial" w:hAnsi="Arial"/>
                <w:sz w:val="11"/>
                <w:szCs w:val="11"/>
                <w:color w:val="auto"/>
                <w:w w:val="97"/>
              </w:rPr>
              <w:t>2</w:t>
            </w:r>
          </w:p>
        </w:tc>
        <w:tc>
          <w:tcPr>
            <w:tcW w:w="80" w:type="dxa"/>
            <w:vAlign w:val="bottom"/>
          </w:tcPr>
          <w:p>
            <w:pPr>
              <w:spacing w:after="0"/>
              <w:rPr>
                <w:sz w:val="10"/>
                <w:szCs w:val="10"/>
                <w:color w:val="auto"/>
              </w:rPr>
            </w:pPr>
          </w:p>
        </w:tc>
        <w:tc>
          <w:tcPr>
            <w:tcW w:w="820" w:type="dxa"/>
            <w:vAlign w:val="bottom"/>
            <w:tcBorders>
              <w:right w:val="single" w:sz="8" w:color="47829E"/>
            </w:tcBorders>
          </w:tcPr>
          <w:p>
            <w:pPr>
              <w:spacing w:after="0"/>
              <w:rPr>
                <w:sz w:val="10"/>
                <w:szCs w:val="10"/>
                <w:color w:val="auto"/>
              </w:rPr>
            </w:pPr>
          </w:p>
        </w:tc>
        <w:tc>
          <w:tcPr>
            <w:tcW w:w="900" w:type="dxa"/>
            <w:vAlign w:val="bottom"/>
            <w:tcBorders>
              <w:right w:val="single" w:sz="8" w:color="47829E"/>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right w:val="single" w:sz="8" w:color="47829E"/>
            </w:tcBorders>
            <w:gridSpan w:val="2"/>
          </w:tcPr>
          <w:p>
            <w:pPr>
              <w:jc w:val="right"/>
              <w:ind w:right="4"/>
              <w:spacing w:after="0" w:line="149" w:lineRule="exact"/>
              <w:rPr>
                <w:sz w:val="20"/>
                <w:szCs w:val="20"/>
                <w:color w:val="auto"/>
              </w:rPr>
            </w:pPr>
            <w:r>
              <w:rPr>
                <w:rFonts w:ascii="Arial" w:cs="Arial" w:eastAsia="Arial" w:hAnsi="Arial"/>
                <w:sz w:val="11"/>
                <w:szCs w:val="11"/>
                <w:color w:val="auto"/>
              </w:rPr>
              <w:t>1/20/15</w:t>
            </w:r>
            <w:r>
              <w:rPr>
                <w:rFonts w:ascii="Arial" w:cs="Arial" w:eastAsia="Arial" w:hAnsi="Arial"/>
                <w:sz w:val="17"/>
                <w:szCs w:val="17"/>
                <w:color w:val="auto"/>
                <w:vertAlign w:val="superscript"/>
              </w:rPr>
              <w:t>2</w:t>
            </w:r>
          </w:p>
        </w:tc>
        <w:tc>
          <w:tcPr>
            <w:tcW w:w="80" w:type="dxa"/>
            <w:vAlign w:val="bottom"/>
          </w:tcPr>
          <w:p>
            <w:pPr>
              <w:spacing w:after="0"/>
              <w:rPr>
                <w:sz w:val="12"/>
                <w:szCs w:val="12"/>
                <w:color w:val="auto"/>
              </w:rPr>
            </w:pPr>
          </w:p>
        </w:tc>
        <w:tc>
          <w:tcPr>
            <w:tcW w:w="82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right w:val="single" w:sz="8" w:color="47829E"/>
            </w:tcBorders>
            <w:gridSpan w:val="2"/>
          </w:tcPr>
          <w:p>
            <w:pPr>
              <w:jc w:val="right"/>
              <w:ind w:right="4"/>
              <w:spacing w:after="0" w:line="149" w:lineRule="exact"/>
              <w:rPr>
                <w:sz w:val="20"/>
                <w:szCs w:val="20"/>
                <w:color w:val="auto"/>
              </w:rPr>
            </w:pPr>
            <w:r>
              <w:rPr>
                <w:rFonts w:ascii="Arial" w:cs="Arial" w:eastAsia="Arial" w:hAnsi="Arial"/>
                <w:sz w:val="11"/>
                <w:szCs w:val="11"/>
                <w:color w:val="auto"/>
              </w:rPr>
              <w:t>5/24/14</w:t>
            </w:r>
            <w:r>
              <w:rPr>
                <w:rFonts w:ascii="Arial" w:cs="Arial" w:eastAsia="Arial" w:hAnsi="Arial"/>
                <w:sz w:val="17"/>
                <w:szCs w:val="17"/>
                <w:color w:val="auto"/>
                <w:vertAlign w:val="superscript"/>
              </w:rPr>
              <w:t>3</w:t>
            </w:r>
          </w:p>
        </w:tc>
        <w:tc>
          <w:tcPr>
            <w:tcW w:w="80" w:type="dxa"/>
            <w:vAlign w:val="bottom"/>
          </w:tcPr>
          <w:p>
            <w:pPr>
              <w:spacing w:after="0"/>
              <w:rPr>
                <w:sz w:val="12"/>
                <w:szCs w:val="12"/>
                <w:color w:val="auto"/>
              </w:rPr>
            </w:pPr>
          </w:p>
        </w:tc>
        <w:tc>
          <w:tcPr>
            <w:tcW w:w="82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right w:val="single" w:sz="8" w:color="47829E"/>
            </w:tcBorders>
            <w:gridSpan w:val="2"/>
          </w:tcPr>
          <w:p>
            <w:pPr>
              <w:jc w:val="right"/>
              <w:ind w:right="4"/>
              <w:spacing w:after="0" w:line="149" w:lineRule="exact"/>
              <w:rPr>
                <w:sz w:val="20"/>
                <w:szCs w:val="20"/>
                <w:color w:val="auto"/>
              </w:rPr>
            </w:pPr>
            <w:r>
              <w:rPr>
                <w:rFonts w:ascii="Arial" w:cs="Arial" w:eastAsia="Arial" w:hAnsi="Arial"/>
                <w:sz w:val="11"/>
                <w:szCs w:val="11"/>
                <w:color w:val="auto"/>
              </w:rPr>
              <w:t>5/24/14</w:t>
            </w:r>
            <w:r>
              <w:rPr>
                <w:rFonts w:ascii="Arial" w:cs="Arial" w:eastAsia="Arial" w:hAnsi="Arial"/>
                <w:sz w:val="17"/>
                <w:szCs w:val="17"/>
                <w:color w:val="auto"/>
                <w:vertAlign w:val="superscript"/>
              </w:rPr>
              <w:t>4</w:t>
            </w:r>
          </w:p>
        </w:tc>
        <w:tc>
          <w:tcPr>
            <w:tcW w:w="80" w:type="dxa"/>
            <w:vAlign w:val="bottom"/>
          </w:tcPr>
          <w:p>
            <w:pPr>
              <w:spacing w:after="0"/>
              <w:rPr>
                <w:sz w:val="12"/>
                <w:szCs w:val="12"/>
                <w:color w:val="auto"/>
              </w:rPr>
            </w:pPr>
          </w:p>
        </w:tc>
        <w:tc>
          <w:tcPr>
            <w:tcW w:w="82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right w:val="single" w:sz="8" w:color="47829E"/>
            </w:tcBorders>
            <w:gridSpan w:val="2"/>
          </w:tcPr>
          <w:p>
            <w:pPr>
              <w:jc w:val="right"/>
              <w:ind w:right="4"/>
              <w:spacing w:after="0" w:line="149" w:lineRule="exact"/>
              <w:rPr>
                <w:sz w:val="20"/>
                <w:szCs w:val="20"/>
                <w:color w:val="auto"/>
              </w:rPr>
            </w:pPr>
            <w:r>
              <w:rPr>
                <w:rFonts w:ascii="Arial" w:cs="Arial" w:eastAsia="Arial" w:hAnsi="Arial"/>
                <w:sz w:val="11"/>
                <w:szCs w:val="11"/>
                <w:color w:val="auto"/>
              </w:rPr>
              <w:t>8/21/14</w:t>
            </w:r>
            <w:r>
              <w:rPr>
                <w:rFonts w:ascii="Arial" w:cs="Arial" w:eastAsia="Arial" w:hAnsi="Arial"/>
                <w:sz w:val="17"/>
                <w:szCs w:val="17"/>
                <w:color w:val="auto"/>
                <w:vertAlign w:val="superscript"/>
              </w:rPr>
              <w:t>5</w:t>
            </w:r>
          </w:p>
        </w:tc>
        <w:tc>
          <w:tcPr>
            <w:tcW w:w="80" w:type="dxa"/>
            <w:vAlign w:val="bottom"/>
          </w:tcPr>
          <w:p>
            <w:pPr>
              <w:spacing w:after="0"/>
              <w:rPr>
                <w:sz w:val="12"/>
                <w:szCs w:val="12"/>
                <w:color w:val="auto"/>
              </w:rPr>
            </w:pPr>
          </w:p>
        </w:tc>
        <w:tc>
          <w:tcPr>
            <w:tcW w:w="82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right w:val="single" w:sz="8" w:color="47829E"/>
            </w:tcBorders>
            <w:gridSpan w:val="2"/>
          </w:tcPr>
          <w:p>
            <w:pPr>
              <w:jc w:val="right"/>
              <w:ind w:right="4"/>
              <w:spacing w:after="0" w:line="149" w:lineRule="exact"/>
              <w:rPr>
                <w:sz w:val="20"/>
                <w:szCs w:val="20"/>
                <w:color w:val="auto"/>
              </w:rPr>
            </w:pPr>
            <w:r>
              <w:rPr>
                <w:rFonts w:ascii="Arial" w:cs="Arial" w:eastAsia="Arial" w:hAnsi="Arial"/>
                <w:sz w:val="11"/>
                <w:szCs w:val="11"/>
                <w:color w:val="auto"/>
              </w:rPr>
              <w:t>8/21/14</w:t>
            </w:r>
            <w:r>
              <w:rPr>
                <w:rFonts w:ascii="Arial" w:cs="Arial" w:eastAsia="Arial" w:hAnsi="Arial"/>
                <w:sz w:val="17"/>
                <w:szCs w:val="17"/>
                <w:color w:val="auto"/>
                <w:vertAlign w:val="superscript"/>
              </w:rPr>
              <w:t>6</w:t>
            </w:r>
          </w:p>
        </w:tc>
        <w:tc>
          <w:tcPr>
            <w:tcW w:w="80" w:type="dxa"/>
            <w:vAlign w:val="bottom"/>
          </w:tcPr>
          <w:p>
            <w:pPr>
              <w:spacing w:after="0"/>
              <w:rPr>
                <w:sz w:val="12"/>
                <w:szCs w:val="12"/>
                <w:color w:val="auto"/>
              </w:rPr>
            </w:pPr>
          </w:p>
        </w:tc>
        <w:tc>
          <w:tcPr>
            <w:tcW w:w="82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right w:val="single" w:sz="8" w:color="47829E"/>
            </w:tcBorders>
            <w:gridSpan w:val="2"/>
          </w:tcPr>
          <w:p>
            <w:pPr>
              <w:jc w:val="right"/>
              <w:ind w:right="4"/>
              <w:spacing w:after="0" w:line="149" w:lineRule="exact"/>
              <w:rPr>
                <w:sz w:val="20"/>
                <w:szCs w:val="20"/>
                <w:color w:val="auto"/>
              </w:rPr>
            </w:pPr>
            <w:r>
              <w:rPr>
                <w:rFonts w:ascii="Arial" w:cs="Arial" w:eastAsia="Arial" w:hAnsi="Arial"/>
                <w:sz w:val="11"/>
                <w:szCs w:val="11"/>
                <w:color w:val="auto"/>
              </w:rPr>
              <w:t>1/20/15</w:t>
            </w:r>
            <w:r>
              <w:rPr>
                <w:rFonts w:ascii="Arial" w:cs="Arial" w:eastAsia="Arial" w:hAnsi="Arial"/>
                <w:sz w:val="17"/>
                <w:szCs w:val="17"/>
                <w:color w:val="auto"/>
                <w:vertAlign w:val="superscript"/>
              </w:rPr>
              <w:t>2</w:t>
            </w:r>
          </w:p>
        </w:tc>
        <w:tc>
          <w:tcPr>
            <w:tcW w:w="80" w:type="dxa"/>
            <w:vAlign w:val="bottom"/>
          </w:tcPr>
          <w:p>
            <w:pPr>
              <w:spacing w:after="0"/>
              <w:rPr>
                <w:sz w:val="12"/>
                <w:szCs w:val="12"/>
                <w:color w:val="auto"/>
              </w:rPr>
            </w:pPr>
          </w:p>
        </w:tc>
        <w:tc>
          <w:tcPr>
            <w:tcW w:w="82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244,609</w:t>
            </w:r>
          </w:p>
        </w:tc>
        <w:tc>
          <w:tcPr>
            <w:tcW w:w="80" w:type="dxa"/>
            <w:vAlign w:val="bottom"/>
          </w:tcPr>
          <w:p>
            <w:pPr>
              <w:spacing w:after="0"/>
              <w:rPr>
                <w:sz w:val="12"/>
                <w:szCs w:val="12"/>
                <w:color w:val="auto"/>
              </w:rPr>
            </w:pPr>
          </w:p>
        </w:tc>
        <w:tc>
          <w:tcPr>
            <w:tcW w:w="780" w:type="dxa"/>
            <w:vAlign w:val="bottom"/>
          </w:tcPr>
          <w:p>
            <w:pPr>
              <w:ind w:left="280"/>
              <w:spacing w:after="0" w:line="149" w:lineRule="exact"/>
              <w:rPr>
                <w:sz w:val="20"/>
                <w:szCs w:val="20"/>
                <w:color w:val="auto"/>
              </w:rPr>
            </w:pPr>
            <w:r>
              <w:rPr>
                <w:rFonts w:ascii="Arial" w:cs="Arial" w:eastAsia="Arial" w:hAnsi="Arial"/>
                <w:sz w:val="14"/>
                <w:szCs w:val="14"/>
                <w:color w:val="auto"/>
                <w:w w:val="94"/>
              </w:rPr>
              <w:t>366,914</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right w:val="single" w:sz="8" w:color="47829E"/>
            </w:tcBorders>
            <w:gridSpan w:val="2"/>
            <w:vMerge w:val="restart"/>
          </w:tcPr>
          <w:p>
            <w:pPr>
              <w:jc w:val="right"/>
              <w:ind w:right="4"/>
              <w:spacing w:after="0" w:line="149" w:lineRule="exact"/>
              <w:rPr>
                <w:sz w:val="20"/>
                <w:szCs w:val="20"/>
                <w:color w:val="auto"/>
              </w:rPr>
            </w:pPr>
            <w:r>
              <w:rPr>
                <w:rFonts w:ascii="Arial" w:cs="Arial" w:eastAsia="Arial" w:hAnsi="Arial"/>
                <w:sz w:val="11"/>
                <w:szCs w:val="11"/>
                <w:color w:val="auto"/>
              </w:rPr>
              <w:t>1/20/15</w:t>
            </w:r>
            <w:r>
              <w:rPr>
                <w:rFonts w:ascii="Arial" w:cs="Arial" w:eastAsia="Arial" w:hAnsi="Arial"/>
                <w:sz w:val="17"/>
                <w:szCs w:val="17"/>
                <w:color w:val="auto"/>
                <w:vertAlign w:val="superscript"/>
              </w:rPr>
              <w:t>2</w:t>
            </w:r>
          </w:p>
        </w:tc>
        <w:tc>
          <w:tcPr>
            <w:tcW w:w="80" w:type="dxa"/>
            <w:vAlign w:val="bottom"/>
          </w:tcPr>
          <w:p>
            <w:pPr>
              <w:spacing w:after="0"/>
              <w:rPr>
                <w:sz w:val="2"/>
                <w:szCs w:val="2"/>
                <w:color w:val="auto"/>
              </w:rPr>
            </w:pPr>
          </w:p>
        </w:tc>
        <w:tc>
          <w:tcPr>
            <w:tcW w:w="820" w:type="dxa"/>
            <w:vAlign w:val="bottom"/>
            <w:tcBorders>
              <w:right w:val="single" w:sz="8" w:color="47829E"/>
            </w:tcBorders>
          </w:tcPr>
          <w:p>
            <w:pPr>
              <w:spacing w:after="0"/>
              <w:rPr>
                <w:sz w:val="2"/>
                <w:szCs w:val="2"/>
                <w:color w:val="auto"/>
              </w:rPr>
            </w:pPr>
          </w:p>
        </w:tc>
        <w:tc>
          <w:tcPr>
            <w:tcW w:w="900" w:type="dxa"/>
            <w:vAlign w:val="bottom"/>
            <w:tcBorders>
              <w:right w:val="single" w:sz="8" w:color="47829E"/>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0" w:type="dxa"/>
            <w:vAlign w:val="bottom"/>
          </w:tcPr>
          <w:p>
            <w:pPr>
              <w:spacing w:after="0"/>
              <w:rPr>
                <w:sz w:val="10"/>
                <w:szCs w:val="10"/>
                <w:color w:val="auto"/>
              </w:rPr>
            </w:pPr>
          </w:p>
        </w:tc>
        <w:tc>
          <w:tcPr>
            <w:tcW w:w="40" w:type="dxa"/>
            <w:vAlign w:val="bottom"/>
            <w:shd w:val="clear" w:color="auto" w:fill="E3ECF0"/>
          </w:tcPr>
          <w:p>
            <w:pPr>
              <w:spacing w:after="0"/>
              <w:rPr>
                <w:sz w:val="10"/>
                <w:szCs w:val="10"/>
                <w:color w:val="auto"/>
              </w:rPr>
            </w:pPr>
          </w:p>
        </w:tc>
        <w:tc>
          <w:tcPr>
            <w:tcW w:w="760" w:type="dxa"/>
            <w:vAlign w:val="bottom"/>
            <w:tcBorders>
              <w:right w:val="single" w:sz="8" w:color="47829E"/>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47829E"/>
            </w:tcBorders>
          </w:tcPr>
          <w:p>
            <w:pPr>
              <w:spacing w:after="0"/>
              <w:rPr>
                <w:sz w:val="10"/>
                <w:szCs w:val="10"/>
                <w:color w:val="auto"/>
              </w:rPr>
            </w:pPr>
          </w:p>
        </w:tc>
        <w:tc>
          <w:tcPr>
            <w:tcW w:w="90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0" w:type="dxa"/>
            <w:vAlign w:val="bottom"/>
            <w:shd w:val="clear" w:color="auto" w:fill="E3ECF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47829E"/>
            </w:tcBorders>
            <w:vMerge w:val="restart"/>
          </w:tcPr>
          <w:p>
            <w:pPr>
              <w:jc w:val="right"/>
              <w:ind w:right="4"/>
              <w:spacing w:after="0"/>
              <w:rPr>
                <w:sz w:val="20"/>
                <w:szCs w:val="20"/>
                <w:color w:val="auto"/>
              </w:rPr>
            </w:pPr>
            <w:r>
              <w:rPr>
                <w:rFonts w:ascii="Arial" w:cs="Arial" w:eastAsia="Arial" w:hAnsi="Arial"/>
                <w:sz w:val="11"/>
                <w:szCs w:val="11"/>
                <w:color w:val="auto"/>
                <w:w w:val="97"/>
              </w:rPr>
              <w:t>3</w:t>
            </w:r>
          </w:p>
        </w:tc>
        <w:tc>
          <w:tcPr>
            <w:tcW w:w="80" w:type="dxa"/>
            <w:vAlign w:val="bottom"/>
          </w:tcPr>
          <w:p>
            <w:pPr>
              <w:spacing w:after="0"/>
              <w:rPr>
                <w:sz w:val="2"/>
                <w:szCs w:val="2"/>
                <w:color w:val="auto"/>
              </w:rPr>
            </w:pPr>
          </w:p>
        </w:tc>
        <w:tc>
          <w:tcPr>
            <w:tcW w:w="820" w:type="dxa"/>
            <w:vAlign w:val="bottom"/>
            <w:tcBorders>
              <w:right w:val="single" w:sz="8" w:color="47829E"/>
            </w:tcBorders>
          </w:tcPr>
          <w:p>
            <w:pPr>
              <w:spacing w:after="0"/>
              <w:rPr>
                <w:sz w:val="2"/>
                <w:szCs w:val="2"/>
                <w:color w:val="auto"/>
              </w:rPr>
            </w:pPr>
          </w:p>
        </w:tc>
        <w:tc>
          <w:tcPr>
            <w:tcW w:w="900" w:type="dxa"/>
            <w:vAlign w:val="bottom"/>
            <w:tcBorders>
              <w:right w:val="single" w:sz="8" w:color="47829E"/>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 w:type="dxa"/>
            <w:vAlign w:val="bottom"/>
          </w:tcPr>
          <w:p>
            <w:pPr>
              <w:spacing w:after="0"/>
              <w:rPr>
                <w:sz w:val="12"/>
                <w:szCs w:val="12"/>
                <w:color w:val="auto"/>
              </w:rPr>
            </w:pPr>
          </w:p>
        </w:tc>
        <w:tc>
          <w:tcPr>
            <w:tcW w:w="40" w:type="dxa"/>
            <w:vAlign w:val="bottom"/>
            <w:shd w:val="clear" w:color="auto" w:fill="E3ECF0"/>
          </w:tcPr>
          <w:p>
            <w:pPr>
              <w:spacing w:after="0"/>
              <w:rPr>
                <w:sz w:val="12"/>
                <w:szCs w:val="12"/>
                <w:color w:val="auto"/>
              </w:rPr>
            </w:pPr>
          </w:p>
        </w:tc>
        <w:tc>
          <w:tcPr>
            <w:tcW w:w="620" w:type="dxa"/>
            <w:vAlign w:val="bottom"/>
            <w:shd w:val="clear" w:color="auto" w:fill="E3ECF0"/>
          </w:tcPr>
          <w:p>
            <w:pPr>
              <w:jc w:val="right"/>
              <w:spacing w:after="0" w:line="148" w:lineRule="exact"/>
              <w:rPr>
                <w:sz w:val="20"/>
                <w:szCs w:val="20"/>
                <w:color w:val="auto"/>
              </w:rPr>
            </w:pPr>
            <w:r>
              <w:rPr>
                <w:rFonts w:ascii="Arial" w:cs="Arial" w:eastAsia="Arial" w:hAnsi="Arial"/>
                <w:sz w:val="14"/>
                <w:szCs w:val="14"/>
                <w:color w:val="auto"/>
              </w:rPr>
              <w:t>5/24/14</w:t>
            </w:r>
          </w:p>
        </w:tc>
        <w:tc>
          <w:tcPr>
            <w:tcW w:w="140" w:type="dxa"/>
            <w:vAlign w:val="bottom"/>
            <w:tcBorders>
              <w:right w:val="single" w:sz="8" w:color="47829E"/>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40" w:type="dxa"/>
            <w:vAlign w:val="bottom"/>
            <w:shd w:val="clear" w:color="auto" w:fill="E3ECF0"/>
          </w:tcPr>
          <w:p>
            <w:pPr>
              <w:spacing w:after="0"/>
              <w:rPr>
                <w:sz w:val="10"/>
                <w:szCs w:val="10"/>
                <w:color w:val="auto"/>
              </w:rPr>
            </w:pPr>
          </w:p>
        </w:tc>
        <w:tc>
          <w:tcPr>
            <w:tcW w:w="620" w:type="dxa"/>
            <w:vAlign w:val="bottom"/>
            <w:shd w:val="clear" w:color="auto" w:fill="E3ECF0"/>
          </w:tcPr>
          <w:p>
            <w:pPr>
              <w:jc w:val="right"/>
              <w:spacing w:after="0" w:line="123" w:lineRule="exact"/>
              <w:rPr>
                <w:sz w:val="20"/>
                <w:szCs w:val="20"/>
                <w:color w:val="auto"/>
              </w:rPr>
            </w:pPr>
            <w:r>
              <w:rPr>
                <w:rFonts w:ascii="Arial" w:cs="Arial" w:eastAsia="Arial" w:hAnsi="Arial"/>
                <w:sz w:val="14"/>
                <w:szCs w:val="14"/>
                <w:color w:val="auto"/>
              </w:rPr>
              <w:t>5/24/14</w:t>
            </w:r>
          </w:p>
        </w:tc>
        <w:tc>
          <w:tcPr>
            <w:tcW w:w="140" w:type="dxa"/>
            <w:vAlign w:val="bottom"/>
            <w:tcBorders>
              <w:right w:val="single" w:sz="8" w:color="47829E"/>
            </w:tcBorders>
            <w:shd w:val="clear" w:color="auto" w:fill="E3ECF0"/>
          </w:tcPr>
          <w:p>
            <w:pPr>
              <w:jc w:val="right"/>
              <w:ind w:right="4"/>
              <w:spacing w:after="0" w:line="122" w:lineRule="exact"/>
              <w:rPr>
                <w:sz w:val="20"/>
                <w:szCs w:val="20"/>
                <w:color w:val="auto"/>
              </w:rPr>
            </w:pPr>
            <w:r>
              <w:rPr>
                <w:rFonts w:ascii="Arial" w:cs="Arial" w:eastAsia="Arial" w:hAnsi="Arial"/>
                <w:sz w:val="11"/>
                <w:szCs w:val="11"/>
                <w:color w:val="auto"/>
                <w:w w:val="97"/>
              </w:rPr>
              <w:t>4</w:t>
            </w:r>
          </w:p>
        </w:tc>
        <w:tc>
          <w:tcPr>
            <w:tcW w:w="80" w:type="dxa"/>
            <w:vAlign w:val="bottom"/>
          </w:tcPr>
          <w:p>
            <w:pPr>
              <w:spacing w:after="0"/>
              <w:rPr>
                <w:sz w:val="10"/>
                <w:szCs w:val="10"/>
                <w:color w:val="auto"/>
              </w:rPr>
            </w:pPr>
          </w:p>
        </w:tc>
        <w:tc>
          <w:tcPr>
            <w:tcW w:w="820" w:type="dxa"/>
            <w:vAlign w:val="bottom"/>
            <w:tcBorders>
              <w:right w:val="single" w:sz="8" w:color="47829E"/>
            </w:tcBorders>
          </w:tcPr>
          <w:p>
            <w:pPr>
              <w:spacing w:after="0"/>
              <w:rPr>
                <w:sz w:val="10"/>
                <w:szCs w:val="10"/>
                <w:color w:val="auto"/>
              </w:rPr>
            </w:pPr>
          </w:p>
        </w:tc>
        <w:tc>
          <w:tcPr>
            <w:tcW w:w="90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0" w:type="dxa"/>
            <w:vAlign w:val="bottom"/>
            <w:shd w:val="clear" w:color="auto" w:fill="E3ECF0"/>
          </w:tcPr>
          <w:p>
            <w:pPr>
              <w:spacing w:after="0"/>
              <w:rPr>
                <w:sz w:val="2"/>
                <w:szCs w:val="2"/>
                <w:color w:val="auto"/>
              </w:rPr>
            </w:pPr>
          </w:p>
        </w:tc>
        <w:tc>
          <w:tcPr>
            <w:tcW w:w="620" w:type="dxa"/>
            <w:vAlign w:val="bottom"/>
            <w:vMerge w:val="restart"/>
            <w:shd w:val="clear" w:color="auto" w:fill="E3ECF0"/>
          </w:tcPr>
          <w:p>
            <w:pPr>
              <w:jc w:val="right"/>
              <w:spacing w:after="0" w:line="149" w:lineRule="exact"/>
              <w:rPr>
                <w:sz w:val="20"/>
                <w:szCs w:val="20"/>
                <w:color w:val="auto"/>
              </w:rPr>
            </w:pPr>
            <w:r>
              <w:rPr>
                <w:rFonts w:ascii="Arial" w:cs="Arial" w:eastAsia="Arial" w:hAnsi="Arial"/>
                <w:sz w:val="14"/>
                <w:szCs w:val="14"/>
                <w:color w:val="auto"/>
              </w:rPr>
              <w:t>8/21/14</w:t>
            </w:r>
          </w:p>
        </w:tc>
        <w:tc>
          <w:tcPr>
            <w:tcW w:w="140" w:type="dxa"/>
            <w:vAlign w:val="bottom"/>
            <w:tcBorders>
              <w:right w:val="single" w:sz="8" w:color="47829E"/>
            </w:tcBorders>
            <w:vMerge w:val="restart"/>
            <w:shd w:val="clear" w:color="auto" w:fill="E3ECF0"/>
          </w:tcPr>
          <w:p>
            <w:pPr>
              <w:jc w:val="right"/>
              <w:ind w:right="4"/>
              <w:spacing w:after="0"/>
              <w:rPr>
                <w:sz w:val="20"/>
                <w:szCs w:val="20"/>
                <w:color w:val="auto"/>
              </w:rPr>
            </w:pPr>
            <w:r>
              <w:rPr>
                <w:rFonts w:ascii="Arial" w:cs="Arial" w:eastAsia="Arial" w:hAnsi="Arial"/>
                <w:sz w:val="11"/>
                <w:szCs w:val="11"/>
                <w:color w:val="auto"/>
                <w:w w:val="97"/>
              </w:rPr>
              <w:t>5</w:t>
            </w:r>
          </w:p>
        </w:tc>
        <w:tc>
          <w:tcPr>
            <w:tcW w:w="80" w:type="dxa"/>
            <w:vAlign w:val="bottom"/>
          </w:tcPr>
          <w:p>
            <w:pPr>
              <w:spacing w:after="0"/>
              <w:rPr>
                <w:sz w:val="2"/>
                <w:szCs w:val="2"/>
                <w:color w:val="auto"/>
              </w:rPr>
            </w:pPr>
          </w:p>
        </w:tc>
        <w:tc>
          <w:tcPr>
            <w:tcW w:w="820" w:type="dxa"/>
            <w:vAlign w:val="bottom"/>
            <w:tcBorders>
              <w:right w:val="single" w:sz="8" w:color="47829E"/>
            </w:tcBorders>
          </w:tcPr>
          <w:p>
            <w:pPr>
              <w:spacing w:after="0"/>
              <w:rPr>
                <w:sz w:val="2"/>
                <w:szCs w:val="2"/>
                <w:color w:val="auto"/>
              </w:rPr>
            </w:pPr>
          </w:p>
        </w:tc>
        <w:tc>
          <w:tcPr>
            <w:tcW w:w="900" w:type="dxa"/>
            <w:vAlign w:val="bottom"/>
            <w:tcBorders>
              <w:right w:val="single" w:sz="8" w:color="47829E"/>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0" w:type="dxa"/>
            <w:vAlign w:val="bottom"/>
          </w:tcPr>
          <w:p>
            <w:pPr>
              <w:spacing w:after="0"/>
              <w:rPr>
                <w:sz w:val="10"/>
                <w:szCs w:val="10"/>
                <w:color w:val="auto"/>
              </w:rPr>
            </w:pPr>
          </w:p>
        </w:tc>
        <w:tc>
          <w:tcPr>
            <w:tcW w:w="40" w:type="dxa"/>
            <w:vAlign w:val="bottom"/>
            <w:shd w:val="clear" w:color="auto" w:fill="E3ECF0"/>
          </w:tcPr>
          <w:p>
            <w:pPr>
              <w:spacing w:after="0"/>
              <w:rPr>
                <w:sz w:val="10"/>
                <w:szCs w:val="10"/>
                <w:color w:val="auto"/>
              </w:rPr>
            </w:pPr>
          </w:p>
        </w:tc>
        <w:tc>
          <w:tcPr>
            <w:tcW w:w="620" w:type="dxa"/>
            <w:vAlign w:val="bottom"/>
            <w:vMerge w:val="continue"/>
            <w:shd w:val="clear" w:color="auto" w:fill="E3ECF0"/>
          </w:tcPr>
          <w:p>
            <w:pPr>
              <w:spacing w:after="0"/>
              <w:rPr>
                <w:sz w:val="10"/>
                <w:szCs w:val="10"/>
                <w:color w:val="auto"/>
              </w:rPr>
            </w:pPr>
          </w:p>
        </w:tc>
        <w:tc>
          <w:tcPr>
            <w:tcW w:w="140" w:type="dxa"/>
            <w:vAlign w:val="bottom"/>
            <w:tcBorders>
              <w:right w:val="single" w:sz="8" w:color="47829E"/>
            </w:tcBorders>
            <w:vMerge w:val="continue"/>
            <w:shd w:val="clear" w:color="auto" w:fill="E3ECF0"/>
          </w:tcPr>
          <w:p>
            <w:pPr>
              <w:spacing w:after="0"/>
              <w:rPr>
                <w:sz w:val="10"/>
                <w:szCs w:val="10"/>
                <w:color w:val="auto"/>
              </w:rPr>
            </w:pPr>
          </w:p>
        </w:tc>
        <w:tc>
          <w:tcPr>
            <w:tcW w:w="80" w:type="dxa"/>
            <w:vAlign w:val="bottom"/>
            <w:shd w:val="clear" w:color="auto" w:fill="E3ECF0"/>
          </w:tcPr>
          <w:p>
            <w:pPr>
              <w:spacing w:after="0"/>
              <w:rPr>
                <w:sz w:val="10"/>
                <w:szCs w:val="10"/>
                <w:color w:val="auto"/>
              </w:rPr>
            </w:pPr>
          </w:p>
        </w:tc>
        <w:tc>
          <w:tcPr>
            <w:tcW w:w="820" w:type="dxa"/>
            <w:vAlign w:val="bottom"/>
            <w:tcBorders>
              <w:right w:val="single" w:sz="8" w:color="47829E"/>
            </w:tcBorders>
          </w:tcPr>
          <w:p>
            <w:pPr>
              <w:spacing w:after="0"/>
              <w:rPr>
                <w:sz w:val="10"/>
                <w:szCs w:val="10"/>
                <w:color w:val="auto"/>
              </w:rPr>
            </w:pPr>
          </w:p>
        </w:tc>
        <w:tc>
          <w:tcPr>
            <w:tcW w:w="90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40" w:type="dxa"/>
            <w:vAlign w:val="bottom"/>
            <w:shd w:val="clear" w:color="auto" w:fill="E3ECF0"/>
          </w:tcPr>
          <w:p>
            <w:pPr>
              <w:spacing w:after="0"/>
              <w:rPr>
                <w:sz w:val="15"/>
                <w:szCs w:val="15"/>
                <w:color w:val="auto"/>
              </w:rPr>
            </w:pPr>
          </w:p>
        </w:tc>
        <w:tc>
          <w:tcPr>
            <w:tcW w:w="620" w:type="dxa"/>
            <w:vAlign w:val="bottom"/>
            <w:shd w:val="clear" w:color="auto" w:fill="E3ECF0"/>
          </w:tcPr>
          <w:p>
            <w:pPr>
              <w:jc w:val="right"/>
              <w:spacing w:after="0"/>
              <w:rPr>
                <w:sz w:val="20"/>
                <w:szCs w:val="20"/>
                <w:color w:val="auto"/>
              </w:rPr>
            </w:pPr>
            <w:r>
              <w:rPr>
                <w:rFonts w:ascii="Arial" w:cs="Arial" w:eastAsia="Arial" w:hAnsi="Arial"/>
                <w:sz w:val="14"/>
                <w:szCs w:val="14"/>
                <w:color w:val="auto"/>
              </w:rPr>
              <w:t>8/21/14</w:t>
            </w:r>
          </w:p>
        </w:tc>
        <w:tc>
          <w:tcPr>
            <w:tcW w:w="140" w:type="dxa"/>
            <w:vAlign w:val="bottom"/>
            <w:tcBorders>
              <w:right w:val="single" w:sz="8" w:color="47829E"/>
            </w:tcBorders>
            <w:shd w:val="clear" w:color="auto" w:fill="E3ECF0"/>
          </w:tcPr>
          <w:p>
            <w:pPr>
              <w:jc w:val="right"/>
              <w:ind w:right="4"/>
              <w:spacing w:after="0"/>
              <w:rPr>
                <w:sz w:val="20"/>
                <w:szCs w:val="20"/>
                <w:color w:val="auto"/>
              </w:rPr>
            </w:pPr>
            <w:r>
              <w:rPr>
                <w:rFonts w:ascii="Arial" w:cs="Arial" w:eastAsia="Arial" w:hAnsi="Arial"/>
                <w:sz w:val="11"/>
                <w:szCs w:val="11"/>
                <w:color w:val="auto"/>
                <w:w w:val="97"/>
              </w:rPr>
              <w:t>6</w:t>
            </w:r>
          </w:p>
        </w:tc>
        <w:tc>
          <w:tcPr>
            <w:tcW w:w="80" w:type="dxa"/>
            <w:vAlign w:val="bottom"/>
            <w:shd w:val="clear" w:color="auto" w:fill="E3ECF0"/>
          </w:tcPr>
          <w:p>
            <w:pPr>
              <w:spacing w:after="0"/>
              <w:rPr>
                <w:sz w:val="15"/>
                <w:szCs w:val="15"/>
                <w:color w:val="auto"/>
              </w:rPr>
            </w:pPr>
          </w:p>
        </w:tc>
        <w:tc>
          <w:tcPr>
            <w:tcW w:w="820" w:type="dxa"/>
            <w:vAlign w:val="bottom"/>
            <w:tcBorders>
              <w:right w:val="single" w:sz="8" w:color="47829E"/>
            </w:tcBorders>
          </w:tcPr>
          <w:p>
            <w:pPr>
              <w:spacing w:after="0"/>
              <w:rPr>
                <w:sz w:val="15"/>
                <w:szCs w:val="15"/>
                <w:color w:val="auto"/>
              </w:rPr>
            </w:pPr>
          </w:p>
        </w:tc>
        <w:tc>
          <w:tcPr>
            <w:tcW w:w="900" w:type="dxa"/>
            <w:vAlign w:val="bottom"/>
            <w:tcBorders>
              <w:right w:val="single" w:sz="8" w:color="47829E"/>
            </w:tcBorders>
            <w:vMerge w:val="restart"/>
          </w:tcPr>
          <w:p>
            <w:pPr>
              <w:jc w:val="right"/>
              <w:ind w:right="33"/>
              <w:spacing w:after="0"/>
              <w:rPr>
                <w:sz w:val="20"/>
                <w:szCs w:val="20"/>
                <w:color w:val="auto"/>
              </w:rPr>
            </w:pPr>
            <w:r>
              <w:rPr>
                <w:rFonts w:ascii="Arial" w:cs="Arial" w:eastAsia="Arial" w:hAnsi="Arial"/>
                <w:sz w:val="14"/>
                <w:szCs w:val="14"/>
                <w:color w:val="auto"/>
              </w:rPr>
              <w:t>230,067</w:t>
            </w:r>
          </w:p>
        </w:tc>
        <w:tc>
          <w:tcPr>
            <w:tcW w:w="80" w:type="dxa"/>
            <w:vAlign w:val="bottom"/>
          </w:tcPr>
          <w:p>
            <w:pPr>
              <w:spacing w:after="0"/>
              <w:rPr>
                <w:sz w:val="15"/>
                <w:szCs w:val="15"/>
                <w:color w:val="auto"/>
              </w:rPr>
            </w:pPr>
          </w:p>
        </w:tc>
        <w:tc>
          <w:tcPr>
            <w:tcW w:w="780" w:type="dxa"/>
            <w:vAlign w:val="bottom"/>
            <w:vMerge w:val="restart"/>
          </w:tcPr>
          <w:p>
            <w:pPr>
              <w:ind w:left="280"/>
              <w:spacing w:after="0"/>
              <w:rPr>
                <w:sz w:val="20"/>
                <w:szCs w:val="20"/>
                <w:color w:val="auto"/>
              </w:rPr>
            </w:pPr>
            <w:r>
              <w:rPr>
                <w:rFonts w:ascii="Arial" w:cs="Arial" w:eastAsia="Arial" w:hAnsi="Arial"/>
                <w:sz w:val="14"/>
                <w:szCs w:val="14"/>
                <w:color w:val="auto"/>
                <w:w w:val="94"/>
              </w:rPr>
              <w:t>345,101</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4"/>
                <w:szCs w:val="14"/>
                <w:color w:val="auto"/>
              </w:rPr>
              <w:t>1/20/15</w:t>
            </w:r>
          </w:p>
        </w:tc>
        <w:tc>
          <w:tcPr>
            <w:tcW w:w="140" w:type="dxa"/>
            <w:vAlign w:val="bottom"/>
            <w:tcBorders>
              <w:right w:val="single" w:sz="8" w:color="47829E"/>
            </w:tcBorders>
          </w:tcPr>
          <w:p>
            <w:pPr>
              <w:jc w:val="right"/>
              <w:ind w:right="4"/>
              <w:spacing w:after="0" w:line="122" w:lineRule="exact"/>
              <w:rPr>
                <w:sz w:val="20"/>
                <w:szCs w:val="20"/>
                <w:color w:val="auto"/>
              </w:rPr>
            </w:pPr>
            <w:r>
              <w:rPr>
                <w:rFonts w:ascii="Arial" w:cs="Arial" w:eastAsia="Arial" w:hAnsi="Arial"/>
                <w:sz w:val="11"/>
                <w:szCs w:val="11"/>
                <w:color w:val="auto"/>
                <w:w w:val="97"/>
              </w:rPr>
              <w:t>2</w:t>
            </w:r>
          </w:p>
        </w:tc>
        <w:tc>
          <w:tcPr>
            <w:tcW w:w="80" w:type="dxa"/>
            <w:vAlign w:val="bottom"/>
          </w:tcPr>
          <w:p>
            <w:pPr>
              <w:spacing w:after="0"/>
              <w:rPr>
                <w:sz w:val="10"/>
                <w:szCs w:val="10"/>
                <w:color w:val="auto"/>
              </w:rPr>
            </w:pPr>
          </w:p>
        </w:tc>
        <w:tc>
          <w:tcPr>
            <w:tcW w:w="820" w:type="dxa"/>
            <w:vAlign w:val="bottom"/>
            <w:tcBorders>
              <w:right w:val="single" w:sz="8" w:color="47829E"/>
            </w:tcBorders>
          </w:tcPr>
          <w:p>
            <w:pPr>
              <w:spacing w:after="0"/>
              <w:rPr>
                <w:sz w:val="10"/>
                <w:szCs w:val="10"/>
                <w:color w:val="auto"/>
              </w:rPr>
            </w:pPr>
          </w:p>
        </w:tc>
        <w:tc>
          <w:tcPr>
            <w:tcW w:w="900" w:type="dxa"/>
            <w:vAlign w:val="bottom"/>
            <w:tcBorders>
              <w:right w:val="single" w:sz="8" w:color="47829E"/>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right w:val="single" w:sz="8" w:color="47829E"/>
            </w:tcBorders>
            <w:gridSpan w:val="2"/>
          </w:tcPr>
          <w:p>
            <w:pPr>
              <w:jc w:val="right"/>
              <w:ind w:right="4"/>
              <w:spacing w:after="0" w:line="149" w:lineRule="exact"/>
              <w:rPr>
                <w:sz w:val="20"/>
                <w:szCs w:val="20"/>
                <w:color w:val="auto"/>
              </w:rPr>
            </w:pPr>
            <w:r>
              <w:rPr>
                <w:rFonts w:ascii="Arial" w:cs="Arial" w:eastAsia="Arial" w:hAnsi="Arial"/>
                <w:sz w:val="11"/>
                <w:szCs w:val="11"/>
                <w:color w:val="auto"/>
              </w:rPr>
              <w:t>1/20/15</w:t>
            </w:r>
            <w:r>
              <w:rPr>
                <w:rFonts w:ascii="Arial" w:cs="Arial" w:eastAsia="Arial" w:hAnsi="Arial"/>
                <w:sz w:val="17"/>
                <w:szCs w:val="17"/>
                <w:color w:val="auto"/>
                <w:vertAlign w:val="superscript"/>
              </w:rPr>
              <w:t>2</w:t>
            </w:r>
          </w:p>
        </w:tc>
        <w:tc>
          <w:tcPr>
            <w:tcW w:w="80" w:type="dxa"/>
            <w:vAlign w:val="bottom"/>
          </w:tcPr>
          <w:p>
            <w:pPr>
              <w:spacing w:after="0"/>
              <w:rPr>
                <w:sz w:val="12"/>
                <w:szCs w:val="12"/>
                <w:color w:val="auto"/>
              </w:rPr>
            </w:pPr>
          </w:p>
        </w:tc>
        <w:tc>
          <w:tcPr>
            <w:tcW w:w="82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right w:val="single" w:sz="8" w:color="47829E"/>
            </w:tcBorders>
            <w:gridSpan w:val="2"/>
          </w:tcPr>
          <w:p>
            <w:pPr>
              <w:jc w:val="right"/>
              <w:ind w:right="4"/>
              <w:spacing w:after="0" w:line="149" w:lineRule="exact"/>
              <w:rPr>
                <w:sz w:val="20"/>
                <w:szCs w:val="20"/>
                <w:color w:val="auto"/>
              </w:rPr>
            </w:pPr>
            <w:r>
              <w:rPr>
                <w:rFonts w:ascii="Arial" w:cs="Arial" w:eastAsia="Arial" w:hAnsi="Arial"/>
                <w:sz w:val="11"/>
                <w:szCs w:val="11"/>
                <w:color w:val="auto"/>
              </w:rPr>
              <w:t>5/24/14</w:t>
            </w:r>
            <w:r>
              <w:rPr>
                <w:rFonts w:ascii="Arial" w:cs="Arial" w:eastAsia="Arial" w:hAnsi="Arial"/>
                <w:sz w:val="17"/>
                <w:szCs w:val="17"/>
                <w:color w:val="auto"/>
                <w:vertAlign w:val="superscript"/>
              </w:rPr>
              <w:t>3</w:t>
            </w:r>
          </w:p>
        </w:tc>
        <w:tc>
          <w:tcPr>
            <w:tcW w:w="80" w:type="dxa"/>
            <w:vAlign w:val="bottom"/>
          </w:tcPr>
          <w:p>
            <w:pPr>
              <w:spacing w:after="0"/>
              <w:rPr>
                <w:sz w:val="12"/>
                <w:szCs w:val="12"/>
                <w:color w:val="auto"/>
              </w:rPr>
            </w:pPr>
          </w:p>
        </w:tc>
        <w:tc>
          <w:tcPr>
            <w:tcW w:w="82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right w:val="single" w:sz="8" w:color="47829E"/>
            </w:tcBorders>
            <w:gridSpan w:val="2"/>
          </w:tcPr>
          <w:p>
            <w:pPr>
              <w:jc w:val="right"/>
              <w:ind w:right="4"/>
              <w:spacing w:after="0" w:line="149" w:lineRule="exact"/>
              <w:rPr>
                <w:sz w:val="20"/>
                <w:szCs w:val="20"/>
                <w:color w:val="auto"/>
              </w:rPr>
            </w:pPr>
            <w:r>
              <w:rPr>
                <w:rFonts w:ascii="Arial" w:cs="Arial" w:eastAsia="Arial" w:hAnsi="Arial"/>
                <w:sz w:val="11"/>
                <w:szCs w:val="11"/>
                <w:color w:val="auto"/>
              </w:rPr>
              <w:t>5/24/14</w:t>
            </w:r>
            <w:r>
              <w:rPr>
                <w:rFonts w:ascii="Arial" w:cs="Arial" w:eastAsia="Arial" w:hAnsi="Arial"/>
                <w:sz w:val="17"/>
                <w:szCs w:val="17"/>
                <w:color w:val="auto"/>
                <w:vertAlign w:val="superscript"/>
              </w:rPr>
              <w:t>4</w:t>
            </w:r>
          </w:p>
        </w:tc>
        <w:tc>
          <w:tcPr>
            <w:tcW w:w="80" w:type="dxa"/>
            <w:vAlign w:val="bottom"/>
          </w:tcPr>
          <w:p>
            <w:pPr>
              <w:spacing w:after="0"/>
              <w:rPr>
                <w:sz w:val="12"/>
                <w:szCs w:val="12"/>
                <w:color w:val="auto"/>
              </w:rPr>
            </w:pPr>
          </w:p>
        </w:tc>
        <w:tc>
          <w:tcPr>
            <w:tcW w:w="82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right w:val="single" w:sz="8" w:color="47829E"/>
            </w:tcBorders>
            <w:gridSpan w:val="2"/>
          </w:tcPr>
          <w:p>
            <w:pPr>
              <w:jc w:val="right"/>
              <w:ind w:right="4"/>
              <w:spacing w:after="0" w:line="149" w:lineRule="exact"/>
              <w:rPr>
                <w:sz w:val="20"/>
                <w:szCs w:val="20"/>
                <w:color w:val="auto"/>
              </w:rPr>
            </w:pPr>
            <w:r>
              <w:rPr>
                <w:rFonts w:ascii="Arial" w:cs="Arial" w:eastAsia="Arial" w:hAnsi="Arial"/>
                <w:sz w:val="11"/>
                <w:szCs w:val="11"/>
                <w:color w:val="auto"/>
              </w:rPr>
              <w:t>8/21/14</w:t>
            </w:r>
            <w:r>
              <w:rPr>
                <w:rFonts w:ascii="Arial" w:cs="Arial" w:eastAsia="Arial" w:hAnsi="Arial"/>
                <w:sz w:val="17"/>
                <w:szCs w:val="17"/>
                <w:color w:val="auto"/>
                <w:vertAlign w:val="superscript"/>
              </w:rPr>
              <w:t>5</w:t>
            </w:r>
          </w:p>
        </w:tc>
        <w:tc>
          <w:tcPr>
            <w:tcW w:w="80" w:type="dxa"/>
            <w:vAlign w:val="bottom"/>
          </w:tcPr>
          <w:p>
            <w:pPr>
              <w:spacing w:after="0"/>
              <w:rPr>
                <w:sz w:val="12"/>
                <w:szCs w:val="12"/>
                <w:color w:val="auto"/>
              </w:rPr>
            </w:pPr>
          </w:p>
        </w:tc>
        <w:tc>
          <w:tcPr>
            <w:tcW w:w="82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Borders>
              <w:right w:val="single" w:sz="8" w:color="47829E"/>
            </w:tcBorders>
            <w:gridSpan w:val="2"/>
          </w:tcPr>
          <w:p>
            <w:pPr>
              <w:jc w:val="right"/>
              <w:ind w:right="4"/>
              <w:spacing w:after="0" w:line="189" w:lineRule="exact"/>
              <w:rPr>
                <w:sz w:val="20"/>
                <w:szCs w:val="20"/>
                <w:color w:val="auto"/>
              </w:rPr>
            </w:pPr>
            <w:r>
              <w:rPr>
                <w:rFonts w:ascii="Arial" w:cs="Arial" w:eastAsia="Arial" w:hAnsi="Arial"/>
                <w:sz w:val="13"/>
                <w:szCs w:val="13"/>
                <w:color w:val="auto"/>
              </w:rPr>
              <w:t>8/21/14</w:t>
            </w:r>
            <w:r>
              <w:rPr>
                <w:rFonts w:ascii="Arial" w:cs="Arial" w:eastAsia="Arial" w:hAnsi="Arial"/>
                <w:sz w:val="21"/>
                <w:szCs w:val="21"/>
                <w:color w:val="auto"/>
                <w:vertAlign w:val="superscript"/>
              </w:rPr>
              <w:t>6</w:t>
            </w:r>
          </w:p>
        </w:tc>
        <w:tc>
          <w:tcPr>
            <w:tcW w:w="80" w:type="dxa"/>
            <w:vAlign w:val="bottom"/>
          </w:tcPr>
          <w:p>
            <w:pPr>
              <w:spacing w:after="0"/>
              <w:rPr>
                <w:sz w:val="16"/>
                <w:szCs w:val="16"/>
                <w:color w:val="auto"/>
              </w:rPr>
            </w:pPr>
          </w:p>
        </w:tc>
        <w:tc>
          <w:tcPr>
            <w:tcW w:w="820" w:type="dxa"/>
            <w:vAlign w:val="bottom"/>
            <w:tcBorders>
              <w:right w:val="single" w:sz="8" w:color="47829E"/>
            </w:tcBorders>
          </w:tcPr>
          <w:p>
            <w:pPr>
              <w:spacing w:after="0"/>
              <w:rPr>
                <w:sz w:val="16"/>
                <w:szCs w:val="16"/>
                <w:color w:val="auto"/>
              </w:rPr>
            </w:pPr>
          </w:p>
        </w:tc>
        <w:tc>
          <w:tcPr>
            <w:tcW w:w="900" w:type="dxa"/>
            <w:vAlign w:val="bottom"/>
            <w:tcBorders>
              <w:right w:val="single" w:sz="8" w:color="47829E"/>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jc w:val="center"/>
        <w:ind w:left="340" w:right="80"/>
        <w:spacing w:after="0" w:line="229" w:lineRule="auto"/>
        <w:rPr>
          <w:sz w:val="20"/>
          <w:szCs w:val="20"/>
          <w:color w:val="auto"/>
        </w:rPr>
      </w:pPr>
      <w:r>
        <w:rPr>
          <w:rFonts w:ascii="Arial" w:cs="Arial" w:eastAsia="Arial" w:hAnsi="Arial"/>
          <w:sz w:val="14"/>
          <w:szCs w:val="14"/>
          <w:b w:val="1"/>
          <w:bCs w:val="1"/>
          <w:color w:val="FFFFFF"/>
        </w:rPr>
        <w:t>Estimated Future Payouts Under Equity Incentive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-615950</wp:posOffset>
            </wp:positionV>
            <wp:extent cx="7254875" cy="3696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3696335"/>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0" w:type="dxa"/>
            <w:vAlign w:val="bottom"/>
            <w:tcBorders>
              <w:right w:val="single" w:sz="8" w:color="47829E"/>
            </w:tcBorders>
          </w:tcPr>
          <w:p>
            <w:pPr>
              <w:jc w:val="center"/>
              <w:ind w:right="112"/>
              <w:spacing w:after="0"/>
              <w:rPr>
                <w:sz w:val="20"/>
                <w:szCs w:val="20"/>
                <w:color w:val="auto"/>
              </w:rPr>
            </w:pPr>
            <w:r>
              <w:rPr>
                <w:rFonts w:ascii="Arial" w:cs="Arial" w:eastAsia="Arial" w:hAnsi="Arial"/>
                <w:sz w:val="14"/>
                <w:szCs w:val="14"/>
                <w:b w:val="1"/>
                <w:bCs w:val="1"/>
                <w:color w:val="FFFFFF"/>
                <w:w w:val="97"/>
              </w:rPr>
              <w:t>Threshold</w:t>
            </w:r>
          </w:p>
        </w:tc>
        <w:tc>
          <w:tcPr>
            <w:tcW w:w="720" w:type="dxa"/>
            <w:vAlign w:val="bottom"/>
            <w:tcBorders>
              <w:right w:val="single" w:sz="8" w:color="47829E"/>
            </w:tcBorders>
          </w:tcPr>
          <w:p>
            <w:pPr>
              <w:jc w:val="right"/>
              <w:ind w:right="112"/>
              <w:spacing w:after="0"/>
              <w:rPr>
                <w:sz w:val="20"/>
                <w:szCs w:val="20"/>
                <w:color w:val="auto"/>
              </w:rPr>
            </w:pPr>
            <w:r>
              <w:rPr>
                <w:rFonts w:ascii="Arial" w:cs="Arial" w:eastAsia="Arial" w:hAnsi="Arial"/>
                <w:sz w:val="14"/>
                <w:szCs w:val="14"/>
                <w:b w:val="1"/>
                <w:bCs w:val="1"/>
                <w:color w:val="FFFFFF"/>
              </w:rPr>
              <w:t>Target</w:t>
            </w:r>
          </w:p>
        </w:tc>
        <w:tc>
          <w:tcPr>
            <w:tcW w:w="860" w:type="dxa"/>
            <w:vAlign w:val="bottom"/>
          </w:tcPr>
          <w:p>
            <w:pPr>
              <w:jc w:val="right"/>
              <w:ind w:right="12"/>
              <w:spacing w:after="0"/>
              <w:rPr>
                <w:sz w:val="20"/>
                <w:szCs w:val="20"/>
                <w:color w:val="auto"/>
              </w:rPr>
            </w:pPr>
            <w:r>
              <w:rPr>
                <w:rFonts w:ascii="Arial" w:cs="Arial" w:eastAsia="Arial" w:hAnsi="Arial"/>
                <w:sz w:val="14"/>
                <w:szCs w:val="14"/>
                <w:b w:val="1"/>
                <w:bCs w:val="1"/>
                <w:color w:val="FFFFFF"/>
              </w:rPr>
              <w:t>Maximum</w:t>
            </w:r>
          </w:p>
        </w:tc>
      </w:tr>
      <w:tr>
        <w:trPr>
          <w:trHeight w:val="165"/>
        </w:trPr>
        <w:tc>
          <w:tcPr>
            <w:tcW w:w="840" w:type="dxa"/>
            <w:vAlign w:val="bottom"/>
            <w:tcBorders>
              <w:right w:val="single" w:sz="8" w:color="47829E"/>
            </w:tcBorders>
          </w:tcPr>
          <w:p>
            <w:pPr>
              <w:jc w:val="center"/>
              <w:ind w:right="112"/>
              <w:spacing w:after="0" w:line="149" w:lineRule="exact"/>
              <w:rPr>
                <w:sz w:val="20"/>
                <w:szCs w:val="20"/>
                <w:color w:val="auto"/>
              </w:rPr>
            </w:pPr>
            <w:r>
              <w:rPr>
                <w:rFonts w:ascii="Arial" w:cs="Arial" w:eastAsia="Arial" w:hAnsi="Arial"/>
                <w:sz w:val="14"/>
                <w:szCs w:val="14"/>
                <w:b w:val="1"/>
                <w:bCs w:val="1"/>
                <w:color w:val="FFFFFF"/>
              </w:rPr>
              <w:t>(#)</w:t>
            </w:r>
          </w:p>
        </w:tc>
        <w:tc>
          <w:tcPr>
            <w:tcW w:w="720" w:type="dxa"/>
            <w:vAlign w:val="bottom"/>
            <w:tcBorders>
              <w:right w:val="single" w:sz="8" w:color="47829E"/>
            </w:tcBorders>
          </w:tcPr>
          <w:p>
            <w:pPr>
              <w:jc w:val="right"/>
              <w:ind w:right="212"/>
              <w:spacing w:after="0" w:line="149" w:lineRule="exact"/>
              <w:rPr>
                <w:sz w:val="20"/>
                <w:szCs w:val="20"/>
                <w:color w:val="auto"/>
              </w:rPr>
            </w:pPr>
            <w:r>
              <w:rPr>
                <w:rFonts w:ascii="Arial" w:cs="Arial" w:eastAsia="Arial" w:hAnsi="Arial"/>
                <w:sz w:val="14"/>
                <w:szCs w:val="14"/>
                <w:b w:val="1"/>
                <w:bCs w:val="1"/>
                <w:color w:val="FFFFFF"/>
              </w:rPr>
              <w:t>(#)</w:t>
            </w:r>
          </w:p>
        </w:tc>
        <w:tc>
          <w:tcPr>
            <w:tcW w:w="86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FFFFFF"/>
              </w:rPr>
              <w:t>(#)</w:t>
            </w:r>
          </w:p>
        </w:tc>
      </w:tr>
      <w:tr>
        <w:trPr>
          <w:trHeight w:val="149"/>
        </w:trPr>
        <w:tc>
          <w:tcPr>
            <w:tcW w:w="84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FFFFFF"/>
                <w:w w:val="99"/>
              </w:rPr>
              <w:t>(f)</w:t>
            </w:r>
          </w:p>
        </w:tc>
        <w:tc>
          <w:tcPr>
            <w:tcW w:w="72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FFFFFF"/>
              </w:rPr>
              <w:t>(g)</w:t>
            </w:r>
          </w:p>
        </w:tc>
        <w:tc>
          <w:tcPr>
            <w:tcW w:w="86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FFFFFF"/>
              </w:rPr>
              <w:t>(h)</w:t>
            </w:r>
          </w:p>
        </w:tc>
      </w:tr>
      <w:tr>
        <w:trPr>
          <w:trHeight w:val="607"/>
        </w:trPr>
        <w:tc>
          <w:tcPr>
            <w:tcW w:w="84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1,400</w:t>
            </w:r>
          </w:p>
        </w:tc>
        <w:tc>
          <w:tcPr>
            <w:tcW w:w="72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2,799</w:t>
            </w:r>
          </w:p>
        </w:tc>
        <w:tc>
          <w:tcPr>
            <w:tcW w:w="860" w:type="dxa"/>
            <w:vAlign w:val="bottom"/>
          </w:tcPr>
          <w:p>
            <w:pPr>
              <w:jc w:val="right"/>
              <w:spacing w:after="0"/>
              <w:rPr>
                <w:sz w:val="20"/>
                <w:szCs w:val="20"/>
                <w:color w:val="auto"/>
              </w:rPr>
            </w:pPr>
            <w:r>
              <w:rPr>
                <w:rFonts w:ascii="Arial" w:cs="Arial" w:eastAsia="Arial" w:hAnsi="Arial"/>
                <w:sz w:val="14"/>
                <w:szCs w:val="14"/>
                <w:color w:val="auto"/>
              </w:rPr>
              <w:t>5,598</w:t>
            </w:r>
          </w:p>
        </w:tc>
      </w:tr>
      <w:tr>
        <w:trPr>
          <w:trHeight w:val="891"/>
        </w:trPr>
        <w:tc>
          <w:tcPr>
            <w:tcW w:w="84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792</w:t>
            </w:r>
          </w:p>
        </w:tc>
        <w:tc>
          <w:tcPr>
            <w:tcW w:w="72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1,584</w:t>
            </w:r>
          </w:p>
        </w:tc>
        <w:tc>
          <w:tcPr>
            <w:tcW w:w="860" w:type="dxa"/>
            <w:vAlign w:val="bottom"/>
          </w:tcPr>
          <w:p>
            <w:pPr>
              <w:jc w:val="right"/>
              <w:spacing w:after="0"/>
              <w:rPr>
                <w:sz w:val="20"/>
                <w:szCs w:val="20"/>
                <w:color w:val="auto"/>
              </w:rPr>
            </w:pPr>
            <w:r>
              <w:rPr>
                <w:rFonts w:ascii="Arial" w:cs="Arial" w:eastAsia="Arial" w:hAnsi="Arial"/>
                <w:sz w:val="14"/>
                <w:szCs w:val="14"/>
                <w:color w:val="auto"/>
              </w:rPr>
              <w:t>3,168</w:t>
            </w:r>
          </w:p>
        </w:tc>
      </w:tr>
      <w:tr>
        <w:trPr>
          <w:trHeight w:val="891"/>
        </w:trPr>
        <w:tc>
          <w:tcPr>
            <w:tcW w:w="84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661</w:t>
            </w:r>
          </w:p>
        </w:tc>
        <w:tc>
          <w:tcPr>
            <w:tcW w:w="72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1,322</w:t>
            </w:r>
          </w:p>
        </w:tc>
        <w:tc>
          <w:tcPr>
            <w:tcW w:w="860" w:type="dxa"/>
            <w:vAlign w:val="bottom"/>
          </w:tcPr>
          <w:p>
            <w:pPr>
              <w:jc w:val="right"/>
              <w:spacing w:after="0"/>
              <w:rPr>
                <w:sz w:val="20"/>
                <w:szCs w:val="20"/>
                <w:color w:val="auto"/>
              </w:rPr>
            </w:pPr>
            <w:r>
              <w:rPr>
                <w:rFonts w:ascii="Arial" w:cs="Arial" w:eastAsia="Arial" w:hAnsi="Arial"/>
                <w:sz w:val="14"/>
                <w:szCs w:val="14"/>
                <w:color w:val="auto"/>
              </w:rPr>
              <w:t>2,644</w:t>
            </w:r>
          </w:p>
        </w:tc>
      </w:tr>
      <w:tr>
        <w:trPr>
          <w:trHeight w:val="891"/>
        </w:trPr>
        <w:tc>
          <w:tcPr>
            <w:tcW w:w="84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542</w:t>
            </w:r>
          </w:p>
        </w:tc>
        <w:tc>
          <w:tcPr>
            <w:tcW w:w="72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1,084</w:t>
            </w:r>
          </w:p>
        </w:tc>
        <w:tc>
          <w:tcPr>
            <w:tcW w:w="860" w:type="dxa"/>
            <w:vAlign w:val="bottom"/>
          </w:tcPr>
          <w:p>
            <w:pPr>
              <w:jc w:val="right"/>
              <w:spacing w:after="0"/>
              <w:rPr>
                <w:sz w:val="20"/>
                <w:szCs w:val="20"/>
                <w:color w:val="auto"/>
              </w:rPr>
            </w:pPr>
            <w:r>
              <w:rPr>
                <w:rFonts w:ascii="Arial" w:cs="Arial" w:eastAsia="Arial" w:hAnsi="Arial"/>
                <w:sz w:val="14"/>
                <w:szCs w:val="14"/>
                <w:color w:val="auto"/>
              </w:rPr>
              <w:t>2,168</w:t>
            </w:r>
          </w:p>
        </w:tc>
      </w:tr>
      <w:tr>
        <w:trPr>
          <w:trHeight w:val="891"/>
        </w:trPr>
        <w:tc>
          <w:tcPr>
            <w:tcW w:w="84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519</w:t>
            </w:r>
          </w:p>
        </w:tc>
        <w:tc>
          <w:tcPr>
            <w:tcW w:w="72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1,029</w:t>
            </w:r>
          </w:p>
        </w:tc>
        <w:tc>
          <w:tcPr>
            <w:tcW w:w="860" w:type="dxa"/>
            <w:vAlign w:val="bottom"/>
          </w:tcPr>
          <w:p>
            <w:pPr>
              <w:jc w:val="right"/>
              <w:spacing w:after="0"/>
              <w:rPr>
                <w:sz w:val="20"/>
                <w:szCs w:val="20"/>
                <w:color w:val="auto"/>
              </w:rPr>
            </w:pPr>
            <w:r>
              <w:rPr>
                <w:rFonts w:ascii="Arial" w:cs="Arial" w:eastAsia="Arial" w:hAnsi="Arial"/>
                <w:sz w:val="14"/>
                <w:szCs w:val="14"/>
                <w:color w:val="auto"/>
              </w:rPr>
              <w:t>2,058</w:t>
            </w:r>
          </w:p>
        </w:tc>
      </w:tr>
      <w:tr>
        <w:trPr>
          <w:trHeight w:val="149"/>
        </w:trPr>
        <w:tc>
          <w:tcPr>
            <w:tcW w:w="840" w:type="dxa"/>
            <w:vAlign w:val="bottom"/>
            <w:tcBorders>
              <w:right w:val="single" w:sz="8" w:color="47829E"/>
            </w:tcBorders>
          </w:tcPr>
          <w:p>
            <w:pPr>
              <w:spacing w:after="0"/>
              <w:rPr>
                <w:sz w:val="12"/>
                <w:szCs w:val="12"/>
                <w:color w:val="auto"/>
              </w:rPr>
            </w:pPr>
          </w:p>
        </w:tc>
        <w:tc>
          <w:tcPr>
            <w:tcW w:w="720" w:type="dxa"/>
            <w:vAlign w:val="bottom"/>
            <w:tcBorders>
              <w:right w:val="single" w:sz="8" w:color="47829E"/>
            </w:tcBorders>
          </w:tcPr>
          <w:p>
            <w:pPr>
              <w:spacing w:after="0"/>
              <w:rPr>
                <w:sz w:val="12"/>
                <w:szCs w:val="12"/>
                <w:color w:val="auto"/>
              </w:rPr>
            </w:pPr>
          </w:p>
        </w:tc>
        <w:tc>
          <w:tcPr>
            <w:tcW w:w="8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ind w:right="180"/>
        <w:spacing w:after="0"/>
        <w:rPr>
          <w:sz w:val="20"/>
          <w:szCs w:val="20"/>
          <w:color w:val="auto"/>
        </w:rPr>
      </w:pPr>
      <w:r>
        <w:rPr>
          <w:rFonts w:ascii="Arial" w:cs="Arial" w:eastAsia="Arial" w:hAnsi="Arial"/>
          <w:sz w:val="12"/>
          <w:szCs w:val="12"/>
          <w:b w:val="1"/>
          <w:bCs w:val="1"/>
          <w:color w:val="FFFFFF"/>
        </w:rPr>
        <w:t>All Other</w:t>
      </w:r>
    </w:p>
    <w:p>
      <w:pPr>
        <w:spacing w:after="0" w:line="14"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FFFFFF"/>
        </w:rPr>
        <w:t>Stock</w:t>
      </w:r>
    </w:p>
    <w:p>
      <w:pPr>
        <w:jc w:val="center"/>
        <w:ind w:right="180"/>
        <w:spacing w:after="0" w:line="221" w:lineRule="auto"/>
        <w:rPr>
          <w:sz w:val="20"/>
          <w:szCs w:val="20"/>
          <w:color w:val="auto"/>
        </w:rPr>
      </w:pPr>
      <w:r>
        <w:rPr>
          <w:rFonts w:ascii="Arial" w:cs="Arial" w:eastAsia="Arial" w:hAnsi="Arial"/>
          <w:sz w:val="14"/>
          <w:szCs w:val="14"/>
          <w:b w:val="1"/>
          <w:bCs w:val="1"/>
          <w:color w:val="FFFFFF"/>
        </w:rPr>
        <w:t>Awards:</w:t>
      </w:r>
    </w:p>
    <w:p>
      <w:pPr>
        <w:ind w:left="40"/>
        <w:spacing w:after="0" w:line="221" w:lineRule="auto"/>
        <w:rPr>
          <w:sz w:val="20"/>
          <w:szCs w:val="20"/>
          <w:color w:val="auto"/>
        </w:rPr>
      </w:pPr>
      <w:r>
        <w:rPr>
          <w:rFonts w:ascii="Arial" w:cs="Arial" w:eastAsia="Arial" w:hAnsi="Arial"/>
          <w:sz w:val="14"/>
          <w:szCs w:val="14"/>
          <w:b w:val="1"/>
          <w:bCs w:val="1"/>
          <w:color w:val="FFFFFF"/>
        </w:rPr>
        <w:t>Number</w:t>
      </w:r>
    </w:p>
    <w:p>
      <w:pPr>
        <w:ind w:left="240"/>
        <w:spacing w:after="0" w:line="222" w:lineRule="auto"/>
        <w:rPr>
          <w:sz w:val="20"/>
          <w:szCs w:val="20"/>
          <w:color w:val="auto"/>
        </w:rPr>
      </w:pPr>
      <w:r>
        <w:rPr>
          <w:rFonts w:ascii="Arial" w:cs="Arial" w:eastAsia="Arial" w:hAnsi="Arial"/>
          <w:sz w:val="14"/>
          <w:szCs w:val="14"/>
          <w:b w:val="1"/>
          <w:bCs w:val="1"/>
          <w:color w:val="FFFFFF"/>
        </w:rPr>
        <w:t>of</w:t>
      </w:r>
    </w:p>
    <w:p>
      <w:pPr>
        <w:ind w:left="20"/>
        <w:spacing w:after="0" w:line="221" w:lineRule="auto"/>
        <w:rPr>
          <w:sz w:val="20"/>
          <w:szCs w:val="20"/>
          <w:color w:val="auto"/>
        </w:rPr>
      </w:pPr>
      <w:r>
        <w:rPr>
          <w:rFonts w:ascii="Arial" w:cs="Arial" w:eastAsia="Arial" w:hAnsi="Arial"/>
          <w:sz w:val="14"/>
          <w:szCs w:val="14"/>
          <w:b w:val="1"/>
          <w:bCs w:val="1"/>
          <w:color w:val="FFFFFF"/>
        </w:rPr>
        <w:t>Shares</w:t>
      </w:r>
    </w:p>
    <w:p>
      <w:pPr>
        <w:ind w:left="20"/>
        <w:spacing w:after="0" w:line="222" w:lineRule="auto"/>
        <w:rPr>
          <w:sz w:val="20"/>
          <w:szCs w:val="20"/>
          <w:color w:val="auto"/>
        </w:rPr>
      </w:pPr>
      <w:r>
        <w:rPr>
          <w:rFonts w:ascii="Arial" w:cs="Arial" w:eastAsia="Arial" w:hAnsi="Arial"/>
          <w:sz w:val="14"/>
          <w:szCs w:val="14"/>
          <w:b w:val="1"/>
          <w:bCs w:val="1"/>
          <w:color w:val="FFFFFF"/>
        </w:rPr>
        <w:t>of Stock</w:t>
      </w:r>
    </w:p>
    <w:p>
      <w:pPr>
        <w:ind w:left="220"/>
        <w:spacing w:after="0" w:line="221" w:lineRule="auto"/>
        <w:rPr>
          <w:sz w:val="20"/>
          <w:szCs w:val="20"/>
          <w:color w:val="auto"/>
        </w:rPr>
      </w:pPr>
      <w:r>
        <w:rPr>
          <w:rFonts w:ascii="Arial" w:cs="Arial" w:eastAsia="Arial" w:hAnsi="Arial"/>
          <w:sz w:val="14"/>
          <w:szCs w:val="14"/>
          <w:b w:val="1"/>
          <w:bCs w:val="1"/>
          <w:color w:val="FFFFFF"/>
        </w:rPr>
        <w:t>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FFFFFF"/>
        </w:rPr>
        <w:t>Units (#)</w:t>
      </w:r>
    </w:p>
    <w:p>
      <w:pPr>
        <w:spacing w:after="0" w:line="9" w:lineRule="exact"/>
        <w:rPr>
          <w:sz w:val="20"/>
          <w:szCs w:val="20"/>
          <w:color w:val="auto"/>
        </w:rPr>
      </w:pPr>
    </w:p>
    <w:p>
      <w:pPr>
        <w:ind w:left="580" w:hanging="354"/>
        <w:spacing w:after="0"/>
        <w:tabs>
          <w:tab w:leader="none" w:pos="580" w:val="left"/>
        </w:tabs>
        <w:numPr>
          <w:ilvl w:val="0"/>
          <w:numId w:val="54"/>
        </w:numPr>
        <w:rPr>
          <w:rFonts w:ascii="Arial" w:cs="Arial" w:eastAsia="Arial" w:hAnsi="Arial"/>
          <w:sz w:val="1"/>
          <w:szCs w:val="1"/>
          <w:b w:val="1"/>
          <w:bCs w:val="1"/>
          <w:color w:val="FFFFFF"/>
        </w:rPr>
      </w:pPr>
      <w:r>
        <w:rPr>
          <w:rFonts w:ascii="Arial" w:cs="Arial" w:eastAsia="Arial" w:hAnsi="Arial"/>
          <w:sz w:val="1"/>
          <w:szCs w:val="1"/>
          <w:b w:val="1"/>
          <w:bCs w:val="1"/>
          <w:color w:val="FFFFFF"/>
        </w:rPr>
        <w:drawing>
          <wp:inline distT="0" distB="0" distL="0" distR="0">
            <wp:extent cx="111760" cy="9461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94615"/>
                    </a:xfrm>
                    <a:prstGeom prst="rect">
                      <a:avLst/>
                    </a:prstGeom>
                    <a:noFill/>
                    <a:ln>
                      <a:noFill/>
                    </a:ln>
                  </pic:spPr>
                </pic:pic>
              </a:graphicData>
            </a:graphic>
          </wp:inline>
        </w:drawing>
      </w:r>
    </w:p>
    <w:p>
      <w:pPr>
        <w:ind w:left="240"/>
        <w:spacing w:after="0" w:line="220" w:lineRule="auto"/>
        <w:rPr>
          <w:rFonts w:ascii="Arial" w:cs="Arial" w:eastAsia="Arial" w:hAnsi="Arial"/>
          <w:sz w:val="1"/>
          <w:szCs w:val="1"/>
          <w:b w:val="1"/>
          <w:bCs w:val="1"/>
          <w:color w:val="FFFFFF"/>
        </w:rPr>
      </w:pPr>
      <w:r>
        <w:rPr>
          <w:rFonts w:ascii="Arial" w:cs="Arial" w:eastAsia="Arial" w:hAnsi="Arial"/>
          <w:sz w:val="14"/>
          <w:szCs w:val="14"/>
          <w:color w:val="auto"/>
        </w:rPr>
        <w:t>6,335</w:t>
      </w:r>
    </w:p>
    <w:p>
      <w:pPr>
        <w:ind w:left="240"/>
        <w:spacing w:after="0"/>
        <w:rPr>
          <w:rFonts w:ascii="Arial" w:cs="Arial" w:eastAsia="Arial" w:hAnsi="Arial"/>
          <w:sz w:val="1"/>
          <w:szCs w:val="1"/>
          <w:b w:val="1"/>
          <w:bCs w:val="1"/>
          <w:color w:val="FFFFFF"/>
        </w:rPr>
      </w:pPr>
      <w:r>
        <w:rPr>
          <w:rFonts w:ascii="Arial" w:cs="Arial" w:eastAsia="Arial" w:hAnsi="Arial"/>
          <w:sz w:val="14"/>
          <w:szCs w:val="14"/>
          <w:color w:val="auto"/>
        </w:rPr>
        <w:t>6,792</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22,070</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1,328</w:t>
      </w:r>
    </w:p>
    <w:p>
      <w:pPr>
        <w:ind w:left="240"/>
        <w:spacing w:after="0"/>
        <w:rPr>
          <w:sz w:val="20"/>
          <w:szCs w:val="20"/>
          <w:color w:val="auto"/>
        </w:rPr>
      </w:pPr>
      <w:r>
        <w:rPr>
          <w:rFonts w:ascii="Arial" w:cs="Arial" w:eastAsia="Arial" w:hAnsi="Arial"/>
          <w:sz w:val="14"/>
          <w:szCs w:val="14"/>
          <w:color w:val="auto"/>
        </w:rPr>
        <w:t>2,302</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11,878</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978</w:t>
      </w:r>
    </w:p>
    <w:p>
      <w:pPr>
        <w:ind w:left="240"/>
        <w:spacing w:after="0"/>
        <w:rPr>
          <w:sz w:val="20"/>
          <w:szCs w:val="20"/>
          <w:color w:val="auto"/>
        </w:rPr>
      </w:pPr>
      <w:r>
        <w:rPr>
          <w:rFonts w:ascii="Arial" w:cs="Arial" w:eastAsia="Arial" w:hAnsi="Arial"/>
          <w:sz w:val="14"/>
          <w:szCs w:val="14"/>
          <w:color w:val="auto"/>
        </w:rPr>
        <w:t>1,879</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9,913</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525</w:t>
      </w:r>
    </w:p>
    <w:p>
      <w:pPr>
        <w:ind w:left="240"/>
        <w:spacing w:after="0"/>
        <w:rPr>
          <w:sz w:val="20"/>
          <w:szCs w:val="20"/>
          <w:color w:val="auto"/>
        </w:rPr>
      </w:pPr>
      <w:r>
        <w:rPr>
          <w:rFonts w:ascii="Arial" w:cs="Arial" w:eastAsia="Arial" w:hAnsi="Arial"/>
          <w:sz w:val="14"/>
          <w:szCs w:val="14"/>
          <w:color w:val="auto"/>
        </w:rPr>
        <w:t>1,514</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8,127</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732</w:t>
      </w:r>
    </w:p>
    <w:p>
      <w:pPr>
        <w:ind w:left="360"/>
        <w:spacing w:after="0"/>
        <w:rPr>
          <w:sz w:val="20"/>
          <w:szCs w:val="20"/>
          <w:color w:val="auto"/>
        </w:rPr>
      </w:pPr>
      <w:r>
        <w:rPr>
          <w:rFonts w:ascii="Arial" w:cs="Arial" w:eastAsia="Arial" w:hAnsi="Arial"/>
          <w:sz w:val="14"/>
          <w:szCs w:val="14"/>
          <w:color w:val="auto"/>
        </w:rPr>
        <w:t>816</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7,643</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0"/>
        </w:trPr>
        <w:tc>
          <w:tcPr>
            <w:tcW w:w="86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w w:val="98"/>
              </w:rPr>
              <w:t>All Other</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shd w:val="clear" w:color="auto" w:fill="47829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47829E"/>
          </w:tcPr>
          <w:p>
            <w:pPr>
              <w:spacing w:after="0"/>
              <w:rPr>
                <w:sz w:val="24"/>
                <w:szCs w:val="24"/>
                <w:color w:val="auto"/>
              </w:rPr>
            </w:pPr>
          </w:p>
        </w:tc>
        <w:tc>
          <w:tcPr>
            <w:tcW w:w="220" w:type="dxa"/>
            <w:vAlign w:val="bottom"/>
          </w:tcPr>
          <w:p>
            <w:pPr>
              <w:spacing w:after="0"/>
              <w:rPr>
                <w:sz w:val="24"/>
                <w:szCs w:val="24"/>
                <w:color w:val="auto"/>
              </w:rPr>
            </w:pPr>
          </w:p>
        </w:tc>
      </w:tr>
      <w:tr>
        <w:trPr>
          <w:trHeight w:val="149"/>
        </w:trPr>
        <w:tc>
          <w:tcPr>
            <w:tcW w:w="860" w:type="dxa"/>
            <w:vAlign w:val="bottom"/>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3"/>
              </w:rPr>
              <w:t>Option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shd w:val="clear" w:color="auto" w:fill="47829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47829E"/>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860" w:type="dxa"/>
            <w:vAlign w:val="bottom"/>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7"/>
              </w:rPr>
              <w:t>Awards: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7"/>
              </w:rPr>
              <w:t>Exercise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47829E"/>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860" w:type="dxa"/>
            <w:vAlign w:val="bottom"/>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4"/>
              </w:rPr>
              <w:t>Number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7"/>
              </w:rPr>
              <w:t>or Base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7"/>
              </w:rPr>
              <w:t>Grant Date</w:t>
            </w:r>
          </w:p>
        </w:tc>
        <w:tc>
          <w:tcPr>
            <w:tcW w:w="220" w:type="dxa"/>
            <w:vAlign w:val="bottom"/>
          </w:tcPr>
          <w:p>
            <w:pPr>
              <w:spacing w:after="0"/>
              <w:rPr>
                <w:sz w:val="12"/>
                <w:szCs w:val="12"/>
                <w:color w:val="auto"/>
              </w:rPr>
            </w:pPr>
          </w:p>
        </w:tc>
      </w:tr>
      <w:tr>
        <w:trPr>
          <w:trHeight w:val="149"/>
        </w:trPr>
        <w:tc>
          <w:tcPr>
            <w:tcW w:w="860" w:type="dxa"/>
            <w:vAlign w:val="bottom"/>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8"/>
              </w:rPr>
              <w:t>Securities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7"/>
              </w:rPr>
              <w:t>Price of</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5"/>
              </w:rPr>
              <w:t>Fair Value of</w:t>
            </w:r>
          </w:p>
        </w:tc>
        <w:tc>
          <w:tcPr>
            <w:tcW w:w="220" w:type="dxa"/>
            <w:vAlign w:val="bottom"/>
          </w:tcPr>
          <w:p>
            <w:pPr>
              <w:spacing w:after="0"/>
              <w:rPr>
                <w:sz w:val="12"/>
                <w:szCs w:val="12"/>
                <w:color w:val="auto"/>
              </w:rPr>
            </w:pPr>
          </w:p>
        </w:tc>
      </w:tr>
      <w:tr>
        <w:trPr>
          <w:trHeight w:val="149"/>
        </w:trPr>
        <w:tc>
          <w:tcPr>
            <w:tcW w:w="860" w:type="dxa"/>
            <w:vAlign w:val="bottom"/>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5"/>
              </w:rPr>
              <w:t>Underlying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7"/>
              </w:rPr>
              <w:t>Option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8"/>
              </w:rPr>
              <w:t>Stock and</w:t>
            </w:r>
          </w:p>
        </w:tc>
        <w:tc>
          <w:tcPr>
            <w:tcW w:w="220" w:type="dxa"/>
            <w:vAlign w:val="bottom"/>
          </w:tcPr>
          <w:p>
            <w:pPr>
              <w:spacing w:after="0"/>
              <w:rPr>
                <w:sz w:val="12"/>
                <w:szCs w:val="12"/>
                <w:color w:val="auto"/>
              </w:rPr>
            </w:pPr>
          </w:p>
        </w:tc>
      </w:tr>
      <w:tr>
        <w:trPr>
          <w:trHeight w:val="138"/>
        </w:trPr>
        <w:tc>
          <w:tcPr>
            <w:tcW w:w="860" w:type="dxa"/>
            <w:vAlign w:val="bottom"/>
            <w:shd w:val="clear" w:color="auto" w:fill="47829E"/>
          </w:tcPr>
          <w:p>
            <w:pPr>
              <w:jc w:val="center"/>
              <w:spacing w:after="0" w:line="139" w:lineRule="exact"/>
              <w:rPr>
                <w:sz w:val="20"/>
                <w:szCs w:val="20"/>
                <w:color w:val="auto"/>
              </w:rPr>
            </w:pPr>
            <w:r>
              <w:rPr>
                <w:rFonts w:ascii="Arial" w:cs="Arial" w:eastAsia="Arial" w:hAnsi="Arial"/>
                <w:sz w:val="14"/>
                <w:szCs w:val="14"/>
                <w:b w:val="1"/>
                <w:bCs w:val="1"/>
                <w:color w:val="FFFFFF"/>
                <w:w w:val="94"/>
              </w:rPr>
              <w:t>Options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shd w:val="clear" w:color="auto" w:fill="47829E"/>
          </w:tcPr>
          <w:p>
            <w:pPr>
              <w:jc w:val="center"/>
              <w:spacing w:after="0" w:line="139" w:lineRule="exact"/>
              <w:rPr>
                <w:sz w:val="20"/>
                <w:szCs w:val="20"/>
                <w:color w:val="auto"/>
              </w:rPr>
            </w:pPr>
            <w:r>
              <w:rPr>
                <w:rFonts w:ascii="Arial" w:cs="Arial" w:eastAsia="Arial" w:hAnsi="Arial"/>
                <w:sz w:val="14"/>
                <w:szCs w:val="14"/>
                <w:b w:val="1"/>
                <w:bCs w:val="1"/>
                <w:color w:val="FFFFFF"/>
                <w:w w:val="94"/>
              </w:rPr>
              <w:t>Awards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47829E"/>
          </w:tcPr>
          <w:p>
            <w:pPr>
              <w:jc w:val="center"/>
              <w:spacing w:after="0" w:line="139" w:lineRule="exact"/>
              <w:rPr>
                <w:sz w:val="20"/>
                <w:szCs w:val="20"/>
                <w:color w:val="auto"/>
              </w:rPr>
            </w:pPr>
            <w:r>
              <w:rPr>
                <w:rFonts w:ascii="Arial" w:cs="Arial" w:eastAsia="Arial" w:hAnsi="Arial"/>
                <w:sz w:val="14"/>
                <w:szCs w:val="14"/>
                <w:b w:val="1"/>
                <w:bCs w:val="1"/>
                <w:color w:val="FFFFFF"/>
                <w:w w:val="93"/>
              </w:rPr>
              <w:t>Option</w:t>
            </w:r>
          </w:p>
        </w:tc>
        <w:tc>
          <w:tcPr>
            <w:tcW w:w="220" w:type="dxa"/>
            <w:vAlign w:val="bottom"/>
          </w:tcPr>
          <w:p>
            <w:pPr>
              <w:spacing w:after="0"/>
              <w:rPr>
                <w:sz w:val="12"/>
                <w:szCs w:val="12"/>
                <w:color w:val="auto"/>
              </w:rPr>
            </w:pPr>
          </w:p>
        </w:tc>
      </w:tr>
      <w:tr>
        <w:trPr>
          <w:trHeight w:val="172"/>
        </w:trPr>
        <w:tc>
          <w:tcPr>
            <w:tcW w:w="86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w w:val="97"/>
              </w:rPr>
              <w:t>($/Sh)</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47829E"/>
          </w:tcPr>
          <w:p>
            <w:pPr>
              <w:jc w:val="center"/>
              <w:spacing w:after="0" w:line="173"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9"/>
                <w:szCs w:val="19"/>
                <w:b w:val="1"/>
                <w:bCs w:val="1"/>
                <w:color w:val="FFFFFF"/>
                <w:vertAlign w:val="superscript"/>
              </w:rPr>
              <w:t>7</w:t>
            </w:r>
          </w:p>
        </w:tc>
        <w:tc>
          <w:tcPr>
            <w:tcW w:w="220" w:type="dxa"/>
            <w:vAlign w:val="bottom"/>
          </w:tcPr>
          <w:p>
            <w:pPr>
              <w:spacing w:after="0"/>
              <w:rPr>
                <w:sz w:val="14"/>
                <w:szCs w:val="14"/>
                <w:color w:val="auto"/>
              </w:rPr>
            </w:pPr>
          </w:p>
        </w:tc>
      </w:tr>
      <w:tr>
        <w:trPr>
          <w:trHeight w:val="165"/>
        </w:trPr>
        <w:tc>
          <w:tcPr>
            <w:tcW w:w="86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(j)</w:t>
            </w:r>
          </w:p>
        </w:tc>
        <w:tc>
          <w:tcPr>
            <w:tcW w:w="100" w:type="dxa"/>
            <w:vAlign w:val="bottom"/>
            <w:tcBorders>
              <w:right w:val="single" w:sz="8" w:color="47829E"/>
            </w:tcBorders>
            <w:shd w:val="clear" w:color="auto" w:fill="47829E"/>
          </w:tcPr>
          <w:p>
            <w:pPr>
              <w:spacing w:after="0"/>
              <w:rPr>
                <w:sz w:val="14"/>
                <w:szCs w:val="14"/>
                <w:color w:val="auto"/>
              </w:rPr>
            </w:pPr>
          </w:p>
        </w:tc>
        <w:tc>
          <w:tcPr>
            <w:tcW w:w="80" w:type="dxa"/>
            <w:vAlign w:val="bottom"/>
            <w:shd w:val="clear" w:color="auto" w:fill="47829E"/>
          </w:tcPr>
          <w:p>
            <w:pPr>
              <w:spacing w:after="0"/>
              <w:rPr>
                <w:sz w:val="14"/>
                <w:szCs w:val="14"/>
                <w:color w:val="auto"/>
              </w:rPr>
            </w:pPr>
          </w:p>
        </w:tc>
        <w:tc>
          <w:tcPr>
            <w:tcW w:w="72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w w:val="93"/>
              </w:rPr>
              <w:t>(k)</w:t>
            </w:r>
          </w:p>
        </w:tc>
        <w:tc>
          <w:tcPr>
            <w:tcW w:w="100" w:type="dxa"/>
            <w:vAlign w:val="bottom"/>
            <w:tcBorders>
              <w:right w:val="single" w:sz="8" w:color="47829E"/>
            </w:tcBorders>
            <w:shd w:val="clear" w:color="auto" w:fill="47829E"/>
          </w:tcPr>
          <w:p>
            <w:pPr>
              <w:spacing w:after="0"/>
              <w:rPr>
                <w:sz w:val="14"/>
                <w:szCs w:val="14"/>
                <w:color w:val="auto"/>
              </w:rPr>
            </w:pPr>
          </w:p>
        </w:tc>
        <w:tc>
          <w:tcPr>
            <w:tcW w:w="20" w:type="dxa"/>
            <w:vAlign w:val="bottom"/>
            <w:shd w:val="clear" w:color="auto" w:fill="47829E"/>
          </w:tcPr>
          <w:p>
            <w:pPr>
              <w:spacing w:after="0"/>
              <w:rPr>
                <w:sz w:val="14"/>
                <w:szCs w:val="14"/>
                <w:color w:val="auto"/>
              </w:rPr>
            </w:pPr>
          </w:p>
        </w:tc>
        <w:tc>
          <w:tcPr>
            <w:tcW w:w="86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(l)</w:t>
            </w:r>
          </w:p>
        </w:tc>
        <w:tc>
          <w:tcPr>
            <w:tcW w:w="220" w:type="dxa"/>
            <w:vAlign w:val="bottom"/>
            <w:shd w:val="clear" w:color="auto" w:fill="47829E"/>
          </w:tcPr>
          <w:p>
            <w:pPr>
              <w:spacing w:after="0"/>
              <w:rPr>
                <w:sz w:val="14"/>
                <w:szCs w:val="14"/>
                <w:color w:val="auto"/>
              </w:rPr>
            </w:pPr>
          </w:p>
        </w:tc>
      </w:tr>
      <w:tr>
        <w:trPr>
          <w:trHeight w:val="148"/>
        </w:trPr>
        <w:tc>
          <w:tcPr>
            <w:tcW w:w="860" w:type="dxa"/>
            <w:vAlign w:val="bottom"/>
          </w:tcPr>
          <w:p>
            <w:pPr>
              <w:spacing w:after="0"/>
              <w:rPr>
                <w:sz w:val="12"/>
                <w:szCs w:val="12"/>
                <w:color w:val="auto"/>
              </w:rPr>
            </w:pPr>
          </w:p>
        </w:tc>
        <w:tc>
          <w:tcPr>
            <w:tcW w:w="1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right w:val="single" w:sz="8" w:color="47829E"/>
            </w:tcBorders>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4"/>
                <w:szCs w:val="14"/>
                <w:color w:val="auto"/>
              </w:rPr>
              <w:t>687,538</w:t>
            </w:r>
          </w:p>
        </w:tc>
        <w:tc>
          <w:tcPr>
            <w:tcW w:w="220" w:type="dxa"/>
            <w:vAlign w:val="bottom"/>
          </w:tcPr>
          <w:p>
            <w:pPr>
              <w:spacing w:after="0"/>
              <w:rPr>
                <w:sz w:val="12"/>
                <w:szCs w:val="12"/>
                <w:color w:val="auto"/>
              </w:rPr>
            </w:pPr>
          </w:p>
        </w:tc>
      </w:tr>
      <w:tr>
        <w:trPr>
          <w:trHeight w:val="149"/>
        </w:trPr>
        <w:tc>
          <w:tcPr>
            <w:tcW w:w="860" w:type="dxa"/>
            <w:vAlign w:val="bottom"/>
          </w:tcPr>
          <w:p>
            <w:pPr>
              <w:spacing w:after="0"/>
              <w:rPr>
                <w:sz w:val="12"/>
                <w:szCs w:val="12"/>
                <w:color w:val="auto"/>
              </w:rPr>
            </w:pPr>
          </w:p>
        </w:tc>
        <w:tc>
          <w:tcPr>
            <w:tcW w:w="1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right w:val="single" w:sz="8" w:color="47829E"/>
            </w:tcBorders>
          </w:tcPr>
          <w:p>
            <w:pPr>
              <w:spacing w:after="0"/>
              <w:rPr>
                <w:sz w:val="12"/>
                <w:szCs w:val="12"/>
                <w:color w:val="auto"/>
              </w:rPr>
            </w:pP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821,832</w:t>
            </w:r>
          </w:p>
        </w:tc>
      </w:tr>
      <w:tr>
        <w:trPr>
          <w:trHeight w:val="149"/>
        </w:trPr>
        <w:tc>
          <w:tcPr>
            <w:tcW w:w="960" w:type="dxa"/>
            <w:vAlign w:val="bottom"/>
            <w:tcBorders>
              <w:right w:val="single" w:sz="8" w:color="47829E"/>
            </w:tcBorders>
            <w:gridSpan w:val="2"/>
          </w:tcPr>
          <w:p>
            <w:pPr>
              <w:jc w:val="right"/>
              <w:ind w:right="100"/>
              <w:spacing w:after="0" w:line="149" w:lineRule="exact"/>
              <w:rPr>
                <w:sz w:val="20"/>
                <w:szCs w:val="20"/>
                <w:color w:val="auto"/>
              </w:rPr>
            </w:pPr>
            <w:r>
              <w:rPr>
                <w:rFonts w:ascii="Arial" w:cs="Arial" w:eastAsia="Arial" w:hAnsi="Arial"/>
                <w:sz w:val="14"/>
                <w:szCs w:val="14"/>
                <w:color w:val="auto"/>
              </w:rPr>
              <w:t>13,584</w:t>
            </w:r>
          </w:p>
        </w:tc>
        <w:tc>
          <w:tcPr>
            <w:tcW w:w="900" w:type="dxa"/>
            <w:vAlign w:val="bottom"/>
            <w:tcBorders>
              <w:right w:val="single" w:sz="8" w:color="47829E"/>
            </w:tcBorders>
            <w:gridSpan w:val="3"/>
          </w:tcPr>
          <w:p>
            <w:pPr>
              <w:jc w:val="right"/>
              <w:ind w:right="100"/>
              <w:spacing w:after="0" w:line="149" w:lineRule="exact"/>
              <w:rPr>
                <w:sz w:val="20"/>
                <w:szCs w:val="20"/>
                <w:color w:val="auto"/>
              </w:rPr>
            </w:pPr>
            <w:r>
              <w:rPr>
                <w:rFonts w:ascii="Arial" w:cs="Arial" w:eastAsia="Arial" w:hAnsi="Arial"/>
                <w:sz w:val="14"/>
                <w:szCs w:val="14"/>
                <w:color w:val="auto"/>
              </w:rPr>
              <w:t>121.00</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589,817</w:t>
            </w:r>
          </w:p>
        </w:tc>
      </w:tr>
      <w:tr>
        <w:trPr>
          <w:trHeight w:val="162"/>
        </w:trPr>
        <w:tc>
          <w:tcPr>
            <w:tcW w:w="860" w:type="dxa"/>
            <w:vAlign w:val="bottom"/>
          </w:tcPr>
          <w:p>
            <w:pPr>
              <w:spacing w:after="0"/>
              <w:rPr>
                <w:sz w:val="14"/>
                <w:szCs w:val="14"/>
                <w:color w:val="auto"/>
              </w:rPr>
            </w:pPr>
          </w:p>
        </w:tc>
        <w:tc>
          <w:tcPr>
            <w:tcW w:w="100" w:type="dxa"/>
            <w:vAlign w:val="bottom"/>
            <w:tcBorders>
              <w:right w:val="single" w:sz="8" w:color="47829E"/>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right w:val="single" w:sz="8" w:color="47829E"/>
            </w:tcBorders>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3,211,583</w:t>
            </w:r>
          </w:p>
        </w:tc>
      </w:tr>
      <w:tr>
        <w:trPr>
          <w:trHeight w:val="432"/>
        </w:trPr>
        <w:tc>
          <w:tcPr>
            <w:tcW w:w="860" w:type="dxa"/>
            <w:vAlign w:val="bottom"/>
          </w:tcPr>
          <w:p>
            <w:pPr>
              <w:spacing w:after="0"/>
              <w:rPr>
                <w:sz w:val="24"/>
                <w:szCs w:val="24"/>
                <w:color w:val="auto"/>
              </w:rPr>
            </w:pPr>
          </w:p>
        </w:tc>
        <w:tc>
          <w:tcPr>
            <w:tcW w:w="100" w:type="dxa"/>
            <w:vAlign w:val="bottom"/>
            <w:tcBorders>
              <w:right w:val="single" w:sz="8" w:color="47829E"/>
            </w:tcBorders>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right w:val="single" w:sz="8" w:color="47829E"/>
            </w:tcBorders>
          </w:tcPr>
          <w:p>
            <w:pPr>
              <w:spacing w:after="0"/>
              <w:rPr>
                <w:sz w:val="24"/>
                <w:szCs w:val="2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144,128</w:t>
            </w:r>
          </w:p>
        </w:tc>
      </w:tr>
      <w:tr>
        <w:trPr>
          <w:trHeight w:val="149"/>
        </w:trPr>
        <w:tc>
          <w:tcPr>
            <w:tcW w:w="860" w:type="dxa"/>
            <w:vAlign w:val="bottom"/>
          </w:tcPr>
          <w:p>
            <w:pPr>
              <w:spacing w:after="0"/>
              <w:rPr>
                <w:sz w:val="12"/>
                <w:szCs w:val="12"/>
                <w:color w:val="auto"/>
              </w:rPr>
            </w:pPr>
          </w:p>
        </w:tc>
        <w:tc>
          <w:tcPr>
            <w:tcW w:w="1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right w:val="single" w:sz="8" w:color="47829E"/>
            </w:tcBorders>
          </w:tcPr>
          <w:p>
            <w:pPr>
              <w:spacing w:after="0"/>
              <w:rPr>
                <w:sz w:val="12"/>
                <w:szCs w:val="12"/>
                <w:color w:val="auto"/>
              </w:rPr>
            </w:pP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278,542</w:t>
            </w:r>
          </w:p>
        </w:tc>
      </w:tr>
      <w:tr>
        <w:trPr>
          <w:trHeight w:val="149"/>
        </w:trPr>
        <w:tc>
          <w:tcPr>
            <w:tcW w:w="960" w:type="dxa"/>
            <w:vAlign w:val="bottom"/>
            <w:tcBorders>
              <w:right w:val="single" w:sz="8" w:color="47829E"/>
            </w:tcBorders>
            <w:gridSpan w:val="2"/>
          </w:tcPr>
          <w:p>
            <w:pPr>
              <w:jc w:val="right"/>
              <w:ind w:right="100"/>
              <w:spacing w:after="0" w:line="149" w:lineRule="exact"/>
              <w:rPr>
                <w:sz w:val="20"/>
                <w:szCs w:val="20"/>
                <w:color w:val="auto"/>
              </w:rPr>
            </w:pPr>
            <w:r>
              <w:rPr>
                <w:rFonts w:ascii="Arial" w:cs="Arial" w:eastAsia="Arial" w:hAnsi="Arial"/>
                <w:sz w:val="14"/>
                <w:szCs w:val="14"/>
                <w:color w:val="auto"/>
              </w:rPr>
              <w:t>4,604</w:t>
            </w:r>
          </w:p>
        </w:tc>
        <w:tc>
          <w:tcPr>
            <w:tcW w:w="900" w:type="dxa"/>
            <w:vAlign w:val="bottom"/>
            <w:tcBorders>
              <w:right w:val="single" w:sz="8" w:color="47829E"/>
            </w:tcBorders>
            <w:gridSpan w:val="3"/>
          </w:tcPr>
          <w:p>
            <w:pPr>
              <w:jc w:val="right"/>
              <w:ind w:right="100"/>
              <w:spacing w:after="0" w:line="149" w:lineRule="exact"/>
              <w:rPr>
                <w:sz w:val="20"/>
                <w:szCs w:val="20"/>
                <w:color w:val="auto"/>
              </w:rPr>
            </w:pPr>
            <w:r>
              <w:rPr>
                <w:rFonts w:ascii="Arial" w:cs="Arial" w:eastAsia="Arial" w:hAnsi="Arial"/>
                <w:sz w:val="14"/>
                <w:szCs w:val="14"/>
                <w:color w:val="auto"/>
              </w:rPr>
              <w:t>121.00</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199,906</w:t>
            </w:r>
          </w:p>
        </w:tc>
      </w:tr>
      <w:tr>
        <w:trPr>
          <w:trHeight w:val="162"/>
        </w:trPr>
        <w:tc>
          <w:tcPr>
            <w:tcW w:w="860" w:type="dxa"/>
            <w:vAlign w:val="bottom"/>
          </w:tcPr>
          <w:p>
            <w:pPr>
              <w:spacing w:after="0"/>
              <w:rPr>
                <w:sz w:val="14"/>
                <w:szCs w:val="14"/>
                <w:color w:val="auto"/>
              </w:rPr>
            </w:pPr>
          </w:p>
        </w:tc>
        <w:tc>
          <w:tcPr>
            <w:tcW w:w="100" w:type="dxa"/>
            <w:vAlign w:val="bottom"/>
            <w:tcBorders>
              <w:right w:val="single" w:sz="8" w:color="47829E"/>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right w:val="single" w:sz="8" w:color="47829E"/>
            </w:tcBorders>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1,738,483</w:t>
            </w:r>
          </w:p>
        </w:tc>
      </w:tr>
      <w:tr>
        <w:trPr>
          <w:trHeight w:val="432"/>
        </w:trPr>
        <w:tc>
          <w:tcPr>
            <w:tcW w:w="860" w:type="dxa"/>
            <w:vAlign w:val="bottom"/>
          </w:tcPr>
          <w:p>
            <w:pPr>
              <w:spacing w:after="0"/>
              <w:rPr>
                <w:sz w:val="24"/>
                <w:szCs w:val="24"/>
                <w:color w:val="auto"/>
              </w:rPr>
            </w:pPr>
          </w:p>
        </w:tc>
        <w:tc>
          <w:tcPr>
            <w:tcW w:w="100" w:type="dxa"/>
            <w:vAlign w:val="bottom"/>
            <w:tcBorders>
              <w:right w:val="single" w:sz="8" w:color="47829E"/>
            </w:tcBorders>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right w:val="single" w:sz="8" w:color="47829E"/>
            </w:tcBorders>
          </w:tcPr>
          <w:p>
            <w:pPr>
              <w:spacing w:after="0"/>
              <w:rPr>
                <w:sz w:val="24"/>
                <w:szCs w:val="2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106,142</w:t>
            </w:r>
          </w:p>
        </w:tc>
      </w:tr>
      <w:tr>
        <w:trPr>
          <w:trHeight w:val="149"/>
        </w:trPr>
        <w:tc>
          <w:tcPr>
            <w:tcW w:w="860" w:type="dxa"/>
            <w:vAlign w:val="bottom"/>
          </w:tcPr>
          <w:p>
            <w:pPr>
              <w:spacing w:after="0"/>
              <w:rPr>
                <w:sz w:val="12"/>
                <w:szCs w:val="12"/>
                <w:color w:val="auto"/>
              </w:rPr>
            </w:pPr>
          </w:p>
        </w:tc>
        <w:tc>
          <w:tcPr>
            <w:tcW w:w="1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right w:val="single" w:sz="8" w:color="47829E"/>
            </w:tcBorders>
          </w:tcPr>
          <w:p>
            <w:pPr>
              <w:spacing w:after="0"/>
              <w:rPr>
                <w:sz w:val="12"/>
                <w:szCs w:val="12"/>
                <w:color w:val="auto"/>
              </w:rPr>
            </w:pP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227,359</w:t>
            </w:r>
          </w:p>
        </w:tc>
      </w:tr>
      <w:tr>
        <w:trPr>
          <w:trHeight w:val="149"/>
        </w:trPr>
        <w:tc>
          <w:tcPr>
            <w:tcW w:w="960" w:type="dxa"/>
            <w:vAlign w:val="bottom"/>
            <w:tcBorders>
              <w:right w:val="single" w:sz="8" w:color="47829E"/>
            </w:tcBorders>
            <w:gridSpan w:val="2"/>
          </w:tcPr>
          <w:p>
            <w:pPr>
              <w:jc w:val="right"/>
              <w:ind w:right="100"/>
              <w:spacing w:after="0" w:line="149" w:lineRule="exact"/>
              <w:rPr>
                <w:sz w:val="20"/>
                <w:szCs w:val="20"/>
                <w:color w:val="auto"/>
              </w:rPr>
            </w:pPr>
            <w:r>
              <w:rPr>
                <w:rFonts w:ascii="Arial" w:cs="Arial" w:eastAsia="Arial" w:hAnsi="Arial"/>
                <w:sz w:val="14"/>
                <w:szCs w:val="14"/>
                <w:color w:val="auto"/>
              </w:rPr>
              <w:t>3,757</w:t>
            </w:r>
          </w:p>
        </w:tc>
        <w:tc>
          <w:tcPr>
            <w:tcW w:w="900" w:type="dxa"/>
            <w:vAlign w:val="bottom"/>
            <w:tcBorders>
              <w:right w:val="single" w:sz="8" w:color="47829E"/>
            </w:tcBorders>
            <w:gridSpan w:val="3"/>
          </w:tcPr>
          <w:p>
            <w:pPr>
              <w:jc w:val="right"/>
              <w:ind w:right="100"/>
              <w:spacing w:after="0" w:line="149" w:lineRule="exact"/>
              <w:rPr>
                <w:sz w:val="20"/>
                <w:szCs w:val="20"/>
                <w:color w:val="auto"/>
              </w:rPr>
            </w:pPr>
            <w:r>
              <w:rPr>
                <w:rFonts w:ascii="Arial" w:cs="Arial" w:eastAsia="Arial" w:hAnsi="Arial"/>
                <w:sz w:val="14"/>
                <w:szCs w:val="14"/>
                <w:color w:val="auto"/>
              </w:rPr>
              <w:t>121.00</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163,129</w:t>
            </w:r>
          </w:p>
        </w:tc>
      </w:tr>
      <w:tr>
        <w:trPr>
          <w:trHeight w:val="162"/>
        </w:trPr>
        <w:tc>
          <w:tcPr>
            <w:tcW w:w="860" w:type="dxa"/>
            <w:vAlign w:val="bottom"/>
          </w:tcPr>
          <w:p>
            <w:pPr>
              <w:spacing w:after="0"/>
              <w:rPr>
                <w:sz w:val="14"/>
                <w:szCs w:val="14"/>
                <w:color w:val="auto"/>
              </w:rPr>
            </w:pPr>
          </w:p>
        </w:tc>
        <w:tc>
          <w:tcPr>
            <w:tcW w:w="100" w:type="dxa"/>
            <w:vAlign w:val="bottom"/>
            <w:tcBorders>
              <w:right w:val="single" w:sz="8" w:color="47829E"/>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right w:val="single" w:sz="8" w:color="47829E"/>
            </w:tcBorders>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1,450,888</w:t>
            </w:r>
          </w:p>
        </w:tc>
      </w:tr>
      <w:tr>
        <w:trPr>
          <w:trHeight w:val="432"/>
        </w:trPr>
        <w:tc>
          <w:tcPr>
            <w:tcW w:w="860" w:type="dxa"/>
            <w:vAlign w:val="bottom"/>
          </w:tcPr>
          <w:p>
            <w:pPr>
              <w:spacing w:after="0"/>
              <w:rPr>
                <w:sz w:val="24"/>
                <w:szCs w:val="24"/>
                <w:color w:val="auto"/>
              </w:rPr>
            </w:pPr>
          </w:p>
        </w:tc>
        <w:tc>
          <w:tcPr>
            <w:tcW w:w="100" w:type="dxa"/>
            <w:vAlign w:val="bottom"/>
            <w:tcBorders>
              <w:right w:val="single" w:sz="8" w:color="47829E"/>
            </w:tcBorders>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right w:val="single" w:sz="8" w:color="47829E"/>
            </w:tcBorders>
          </w:tcPr>
          <w:p>
            <w:pPr>
              <w:spacing w:after="0"/>
              <w:rPr>
                <w:sz w:val="24"/>
                <w:szCs w:val="2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56,978</w:t>
            </w:r>
          </w:p>
        </w:tc>
      </w:tr>
      <w:tr>
        <w:trPr>
          <w:trHeight w:val="149"/>
        </w:trPr>
        <w:tc>
          <w:tcPr>
            <w:tcW w:w="860" w:type="dxa"/>
            <w:vAlign w:val="bottom"/>
          </w:tcPr>
          <w:p>
            <w:pPr>
              <w:spacing w:after="0"/>
              <w:rPr>
                <w:sz w:val="12"/>
                <w:szCs w:val="12"/>
                <w:color w:val="auto"/>
              </w:rPr>
            </w:pPr>
          </w:p>
        </w:tc>
        <w:tc>
          <w:tcPr>
            <w:tcW w:w="1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right w:val="single" w:sz="8" w:color="47829E"/>
            </w:tcBorders>
          </w:tcPr>
          <w:p>
            <w:pPr>
              <w:spacing w:after="0"/>
              <w:rPr>
                <w:sz w:val="12"/>
                <w:szCs w:val="12"/>
                <w:color w:val="auto"/>
              </w:rPr>
            </w:pP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183,194</w:t>
            </w:r>
          </w:p>
        </w:tc>
      </w:tr>
      <w:tr>
        <w:trPr>
          <w:trHeight w:val="149"/>
        </w:trPr>
        <w:tc>
          <w:tcPr>
            <w:tcW w:w="960" w:type="dxa"/>
            <w:vAlign w:val="bottom"/>
            <w:tcBorders>
              <w:right w:val="single" w:sz="8" w:color="47829E"/>
            </w:tcBorders>
            <w:gridSpan w:val="2"/>
          </w:tcPr>
          <w:p>
            <w:pPr>
              <w:jc w:val="right"/>
              <w:ind w:right="100"/>
              <w:spacing w:after="0" w:line="149" w:lineRule="exact"/>
              <w:rPr>
                <w:sz w:val="20"/>
                <w:szCs w:val="20"/>
                <w:color w:val="auto"/>
              </w:rPr>
            </w:pPr>
            <w:r>
              <w:rPr>
                <w:rFonts w:ascii="Arial" w:cs="Arial" w:eastAsia="Arial" w:hAnsi="Arial"/>
                <w:sz w:val="14"/>
                <w:szCs w:val="14"/>
                <w:color w:val="auto"/>
              </w:rPr>
              <w:t>3,027</w:t>
            </w:r>
          </w:p>
        </w:tc>
        <w:tc>
          <w:tcPr>
            <w:tcW w:w="900" w:type="dxa"/>
            <w:vAlign w:val="bottom"/>
            <w:tcBorders>
              <w:right w:val="single" w:sz="8" w:color="47829E"/>
            </w:tcBorders>
            <w:gridSpan w:val="3"/>
          </w:tcPr>
          <w:p>
            <w:pPr>
              <w:jc w:val="right"/>
              <w:ind w:right="100"/>
              <w:spacing w:after="0" w:line="149" w:lineRule="exact"/>
              <w:rPr>
                <w:sz w:val="20"/>
                <w:szCs w:val="20"/>
                <w:color w:val="auto"/>
              </w:rPr>
            </w:pPr>
            <w:r>
              <w:rPr>
                <w:rFonts w:ascii="Arial" w:cs="Arial" w:eastAsia="Arial" w:hAnsi="Arial"/>
                <w:sz w:val="14"/>
                <w:szCs w:val="14"/>
                <w:color w:val="auto"/>
              </w:rPr>
              <w:t>121.00</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131,432</w:t>
            </w:r>
          </w:p>
        </w:tc>
      </w:tr>
      <w:tr>
        <w:trPr>
          <w:trHeight w:val="162"/>
        </w:trPr>
        <w:tc>
          <w:tcPr>
            <w:tcW w:w="860" w:type="dxa"/>
            <w:vAlign w:val="bottom"/>
          </w:tcPr>
          <w:p>
            <w:pPr>
              <w:spacing w:after="0"/>
              <w:rPr>
                <w:sz w:val="14"/>
                <w:szCs w:val="14"/>
                <w:color w:val="auto"/>
              </w:rPr>
            </w:pPr>
          </w:p>
        </w:tc>
        <w:tc>
          <w:tcPr>
            <w:tcW w:w="100" w:type="dxa"/>
            <w:vAlign w:val="bottom"/>
            <w:tcBorders>
              <w:right w:val="single" w:sz="8" w:color="47829E"/>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right w:val="single" w:sz="8" w:color="47829E"/>
            </w:tcBorders>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1,189,509</w:t>
            </w:r>
          </w:p>
        </w:tc>
      </w:tr>
      <w:tr>
        <w:trPr>
          <w:trHeight w:val="432"/>
        </w:trPr>
        <w:tc>
          <w:tcPr>
            <w:tcW w:w="860" w:type="dxa"/>
            <w:vAlign w:val="bottom"/>
          </w:tcPr>
          <w:p>
            <w:pPr>
              <w:spacing w:after="0"/>
              <w:rPr>
                <w:sz w:val="24"/>
                <w:szCs w:val="24"/>
                <w:color w:val="auto"/>
              </w:rPr>
            </w:pPr>
          </w:p>
        </w:tc>
        <w:tc>
          <w:tcPr>
            <w:tcW w:w="100" w:type="dxa"/>
            <w:vAlign w:val="bottom"/>
            <w:tcBorders>
              <w:right w:val="single" w:sz="8" w:color="47829E"/>
            </w:tcBorders>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right w:val="single" w:sz="8" w:color="47829E"/>
            </w:tcBorders>
          </w:tcPr>
          <w:p>
            <w:pPr>
              <w:spacing w:after="0"/>
              <w:rPr>
                <w:sz w:val="24"/>
                <w:szCs w:val="2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79,444</w:t>
            </w:r>
          </w:p>
        </w:tc>
      </w:tr>
      <w:tr>
        <w:trPr>
          <w:trHeight w:val="149"/>
        </w:trPr>
        <w:tc>
          <w:tcPr>
            <w:tcW w:w="860" w:type="dxa"/>
            <w:vAlign w:val="bottom"/>
          </w:tcPr>
          <w:p>
            <w:pPr>
              <w:spacing w:after="0"/>
              <w:rPr>
                <w:sz w:val="12"/>
                <w:szCs w:val="12"/>
                <w:color w:val="auto"/>
              </w:rPr>
            </w:pPr>
          </w:p>
        </w:tc>
        <w:tc>
          <w:tcPr>
            <w:tcW w:w="1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right w:val="single" w:sz="8" w:color="47829E"/>
            </w:tcBorders>
          </w:tcPr>
          <w:p>
            <w:pPr>
              <w:spacing w:after="0"/>
              <w:rPr>
                <w:sz w:val="12"/>
                <w:szCs w:val="12"/>
                <w:color w:val="auto"/>
              </w:rPr>
            </w:pP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98,736</w:t>
            </w:r>
          </w:p>
        </w:tc>
      </w:tr>
      <w:tr>
        <w:trPr>
          <w:trHeight w:val="149"/>
        </w:trPr>
        <w:tc>
          <w:tcPr>
            <w:tcW w:w="960" w:type="dxa"/>
            <w:vAlign w:val="bottom"/>
            <w:tcBorders>
              <w:right w:val="single" w:sz="8" w:color="47829E"/>
            </w:tcBorders>
            <w:gridSpan w:val="2"/>
          </w:tcPr>
          <w:p>
            <w:pPr>
              <w:jc w:val="right"/>
              <w:ind w:right="100"/>
              <w:spacing w:after="0" w:line="149" w:lineRule="exact"/>
              <w:rPr>
                <w:sz w:val="20"/>
                <w:szCs w:val="20"/>
                <w:color w:val="auto"/>
              </w:rPr>
            </w:pPr>
            <w:r>
              <w:rPr>
                <w:rFonts w:ascii="Arial" w:cs="Arial" w:eastAsia="Arial" w:hAnsi="Arial"/>
                <w:sz w:val="14"/>
                <w:szCs w:val="14"/>
                <w:color w:val="auto"/>
              </w:rPr>
              <w:t>1,632</w:t>
            </w:r>
          </w:p>
        </w:tc>
        <w:tc>
          <w:tcPr>
            <w:tcW w:w="900" w:type="dxa"/>
            <w:vAlign w:val="bottom"/>
            <w:tcBorders>
              <w:right w:val="single" w:sz="8" w:color="47829E"/>
            </w:tcBorders>
            <w:gridSpan w:val="3"/>
          </w:tcPr>
          <w:p>
            <w:pPr>
              <w:jc w:val="right"/>
              <w:ind w:right="100"/>
              <w:spacing w:after="0" w:line="149" w:lineRule="exact"/>
              <w:rPr>
                <w:sz w:val="20"/>
                <w:szCs w:val="20"/>
                <w:color w:val="auto"/>
              </w:rPr>
            </w:pPr>
            <w:r>
              <w:rPr>
                <w:rFonts w:ascii="Arial" w:cs="Arial" w:eastAsia="Arial" w:hAnsi="Arial"/>
                <w:sz w:val="14"/>
                <w:szCs w:val="14"/>
                <w:color w:val="auto"/>
              </w:rPr>
              <w:t>121.00</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70,861</w:t>
            </w:r>
          </w:p>
        </w:tc>
      </w:tr>
      <w:tr>
        <w:trPr>
          <w:trHeight w:val="162"/>
        </w:trPr>
        <w:tc>
          <w:tcPr>
            <w:tcW w:w="860" w:type="dxa"/>
            <w:vAlign w:val="bottom"/>
          </w:tcPr>
          <w:p>
            <w:pPr>
              <w:spacing w:after="0"/>
              <w:rPr>
                <w:sz w:val="14"/>
                <w:szCs w:val="14"/>
                <w:color w:val="auto"/>
              </w:rPr>
            </w:pPr>
          </w:p>
        </w:tc>
        <w:tc>
          <w:tcPr>
            <w:tcW w:w="100" w:type="dxa"/>
            <w:vAlign w:val="bottom"/>
            <w:tcBorders>
              <w:right w:val="single" w:sz="8" w:color="47829E"/>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right w:val="single" w:sz="8" w:color="47829E"/>
            </w:tcBorders>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1,119,902</w:t>
            </w:r>
          </w:p>
        </w:tc>
      </w:tr>
      <w:tr>
        <w:trPr>
          <w:trHeight w:val="149"/>
        </w:trPr>
        <w:tc>
          <w:tcPr>
            <w:tcW w:w="860" w:type="dxa"/>
            <w:vAlign w:val="bottom"/>
          </w:tcPr>
          <w:p>
            <w:pPr>
              <w:spacing w:after="0"/>
              <w:rPr>
                <w:sz w:val="12"/>
                <w:szCs w:val="12"/>
                <w:color w:val="auto"/>
              </w:rPr>
            </w:pPr>
          </w:p>
        </w:tc>
        <w:tc>
          <w:tcPr>
            <w:tcW w:w="1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right w:val="single" w:sz="8" w:color="47829E"/>
            </w:tcBorders>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bl>
    <w:p>
      <w:pPr>
        <w:spacing w:after="0" w:line="80" w:lineRule="exact"/>
        <w:rPr>
          <w:sz w:val="20"/>
          <w:szCs w:val="20"/>
          <w:color w:val="auto"/>
        </w:rPr>
      </w:pPr>
    </w:p>
    <w:p>
      <w:pPr>
        <w:sectPr>
          <w:pgSz w:w="11900" w:h="16838" w:orient="portrait"/>
          <w:cols w:equalWidth="0" w:num="5">
            <w:col w:w="1100" w:space="240"/>
            <w:col w:w="3540" w:space="240"/>
            <w:col w:w="2420" w:space="180"/>
            <w:col w:w="760" w:space="0"/>
            <w:col w:w="2960"/>
          </w:cols>
          <w:pgMar w:left="240" w:top="271" w:right="219" w:bottom="1440" w:gutter="0" w:footer="0" w:header="0"/>
          <w:type w:val="continuous"/>
        </w:sectPr>
      </w:pPr>
    </w:p>
    <w:p>
      <w:pPr>
        <w:ind w:left="120" w:right="100" w:hanging="112"/>
        <w:spacing w:after="0" w:line="205" w:lineRule="auto"/>
        <w:tabs>
          <w:tab w:leader="none" w:pos="12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The amounts shown in column (d) reflect the target level of annual bonus that could have been earned in 2014 that was paid in 2014 pursuant to the Executive Incentive Plan. The amounts shown in column (e) reflect the maximum level of annual bonus that could have been earned in 2014. There is no threshold amount since the program does not provide for an amount to be paid if performance falls below the performance goals. These amounts shown in columns (d) and (e) have not been reduced by the amounts that were mandatorily and voluntarily invested pursuant to the Incentive Stock Plan, which are also reported in column (i) of this table corresponding to footnote 2. The amount earned in cash and voluntarily deferred is also included in column (c) of the Summary Compensation Table. Mandatory deferrals of payments under the Incentive Stock Plan into common stock units are included in column (e) of the Summary Compensation Table on page 45. Mr. Nye does not participate in the Executive Incentive Plan.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40"/>
          </w:cols>
          <w:pgMar w:left="240" w:top="271" w:right="219" w:bottom="1440" w:gutter="0" w:footer="0" w:header="0"/>
          <w:type w:val="continuous"/>
        </w:sectPr>
      </w:pPr>
    </w:p>
    <w:bookmarkStart w:id="51" w:name="page52"/>
    <w:bookmarkEnd w:id="51"/>
    <w:p>
      <w:pPr>
        <w:jc w:val="both"/>
        <w:ind w:left="120" w:right="40" w:hanging="112"/>
        <w:spacing w:after="0" w:line="221" w:lineRule="auto"/>
        <w:tabs>
          <w:tab w:leader="none" w:pos="120" w:val="left"/>
        </w:tabs>
        <w:numPr>
          <w:ilvl w:val="0"/>
          <w:numId w:val="56"/>
        </w:numPr>
        <w:rPr>
          <w:rFonts w:ascii="Arial" w:cs="Arial" w:eastAsia="Arial" w:hAnsi="Arial"/>
          <w:sz w:val="22"/>
          <w:szCs w:val="22"/>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3"/>
          <w:szCs w:val="13"/>
          <w:color w:val="auto"/>
        </w:rPr>
        <w:t>he amounts shown in column (i) include the amount of cash bonus earned in 2014 but paid in 2015 that was deferred in units of common stock under the Incentive Stock Plan. Participants</w:t>
      </w:r>
      <w:r>
        <w:rPr>
          <w:rFonts w:ascii="Arial" w:cs="Arial" w:eastAsia="Arial" w:hAnsi="Arial"/>
          <w:sz w:val="18"/>
          <w:szCs w:val="18"/>
          <w:color w:val="auto"/>
        </w:rPr>
        <w:t xml:space="preserve"> </w:t>
      </w:r>
      <w:r>
        <w:rPr>
          <w:rFonts w:ascii="Arial" w:cs="Arial" w:eastAsia="Arial" w:hAnsi="Arial"/>
          <w:sz w:val="13"/>
          <w:szCs w:val="13"/>
          <w:color w:val="auto"/>
        </w:rPr>
        <w:t>in this program for 2014 were approved on May 22, 2014. These awards are discussed under the heading “</w:t>
      </w:r>
      <w:r>
        <w:rPr>
          <w:rFonts w:ascii="Arial" w:cs="Arial" w:eastAsia="Arial" w:hAnsi="Arial"/>
          <w:sz w:val="13"/>
          <w:szCs w:val="13"/>
          <w:i w:val="1"/>
          <w:iCs w:val="1"/>
          <w:color w:val="auto"/>
        </w:rPr>
        <w:t>Annual Incentive Feature: Performance-Based Stock Purchase Plan”</w:t>
      </w:r>
      <w:r>
        <w:rPr>
          <w:rFonts w:ascii="Arial" w:cs="Arial" w:eastAsia="Arial" w:hAnsi="Arial"/>
          <w:sz w:val="13"/>
          <w:szCs w:val="13"/>
          <w:color w:val="auto"/>
        </w:rPr>
        <w:t xml:space="preserve"> on page 37. These awards are also included in columns (d) and (e) of this table and the Summary Compensation Table on page 45.</w:t>
      </w:r>
    </w:p>
    <w:p>
      <w:pPr>
        <w:spacing w:after="0" w:line="69" w:lineRule="exact"/>
        <w:rPr>
          <w:sz w:val="20"/>
          <w:szCs w:val="20"/>
          <w:color w:val="auto"/>
        </w:rPr>
      </w:pPr>
    </w:p>
    <w:p>
      <w:pPr>
        <w:ind w:left="120" w:right="320" w:hanging="112"/>
        <w:spacing w:after="0" w:line="190" w:lineRule="auto"/>
        <w:tabs>
          <w:tab w:leader="none" w:pos="120" w:val="left"/>
        </w:tabs>
        <w:numPr>
          <w:ilvl w:val="0"/>
          <w:numId w:val="57"/>
        </w:numPr>
        <w:rPr>
          <w:rFonts w:ascii="Arial" w:cs="Arial" w:eastAsia="Arial" w:hAnsi="Arial"/>
          <w:sz w:val="21"/>
          <w:szCs w:val="21"/>
          <w:color w:val="auto"/>
          <w:vertAlign w:val="superscript"/>
        </w:rPr>
      </w:pPr>
      <w:r>
        <w:rPr>
          <w:rFonts w:ascii="Arial" w:cs="Arial" w:eastAsia="Arial" w:hAnsi="Arial"/>
          <w:sz w:val="13"/>
          <w:szCs w:val="13"/>
          <w:color w:val="auto"/>
        </w:rPr>
        <w:t>The amounts shown in column (i) reflect the number of shares of restricted stock units granted in 2014 to each of the named executive officers pursuant to the Stock-Based Award Plan. These awards are discussed under the heading “</w:t>
      </w:r>
      <w:r>
        <w:rPr>
          <w:rFonts w:ascii="Arial" w:cs="Arial" w:eastAsia="Arial" w:hAnsi="Arial"/>
          <w:sz w:val="13"/>
          <w:szCs w:val="13"/>
          <w:i w:val="1"/>
          <w:iCs w:val="1"/>
          <w:color w:val="auto"/>
        </w:rPr>
        <w:t>LTIP Grants”</w:t>
      </w:r>
      <w:r>
        <w:rPr>
          <w:rFonts w:ascii="Arial" w:cs="Arial" w:eastAsia="Arial" w:hAnsi="Arial"/>
          <w:sz w:val="13"/>
          <w:szCs w:val="13"/>
          <w:color w:val="auto"/>
        </w:rPr>
        <w:t xml:space="preserve"> on pages 38 to 39. These awards are also included in column (e) of the Summary Compensation Table on page 45.</w:t>
      </w:r>
    </w:p>
    <w:p>
      <w:pPr>
        <w:spacing w:after="0" w:line="69" w:lineRule="exact"/>
        <w:rPr>
          <w:sz w:val="20"/>
          <w:szCs w:val="20"/>
          <w:color w:val="auto"/>
        </w:rPr>
      </w:pPr>
    </w:p>
    <w:p>
      <w:pPr>
        <w:ind w:left="120" w:right="40" w:hanging="112"/>
        <w:spacing w:after="0" w:line="191" w:lineRule="auto"/>
        <w:tabs>
          <w:tab w:leader="none" w:pos="12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The amounts shown in column (j) reflect the number of options to purchase shares of Martin Marietta’s common stock granted in 2014 to each of the named executive officers pursuant to the Stock-Based Award Plan. These awards are discussed under the heading “</w:t>
      </w:r>
      <w:r>
        <w:rPr>
          <w:rFonts w:ascii="Arial" w:cs="Arial" w:eastAsia="Arial" w:hAnsi="Arial"/>
          <w:sz w:val="14"/>
          <w:szCs w:val="14"/>
          <w:i w:val="1"/>
          <w:iCs w:val="1"/>
          <w:color w:val="auto"/>
        </w:rPr>
        <w:t>LTIP Grants”</w:t>
      </w:r>
      <w:r>
        <w:rPr>
          <w:rFonts w:ascii="Arial" w:cs="Arial" w:eastAsia="Arial" w:hAnsi="Arial"/>
          <w:sz w:val="14"/>
          <w:szCs w:val="14"/>
          <w:color w:val="auto"/>
        </w:rPr>
        <w:t xml:space="preserve"> on pages 38 to 39. These awards are also included in column (f) of the Summary Compensation Table on page 45.</w:t>
      </w:r>
    </w:p>
    <w:p>
      <w:pPr>
        <w:spacing w:after="0" w:line="69" w:lineRule="exact"/>
        <w:rPr>
          <w:sz w:val="20"/>
          <w:szCs w:val="20"/>
          <w:color w:val="auto"/>
        </w:rPr>
      </w:pPr>
    </w:p>
    <w:p>
      <w:pPr>
        <w:ind w:left="120" w:right="160" w:hanging="112"/>
        <w:spacing w:after="0" w:line="180" w:lineRule="auto"/>
        <w:tabs>
          <w:tab w:leader="none" w:pos="12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The amounts shown in columns (f), (g) and (h) reflect the threshold, target and maximum, respectively, levels of PSUs payable if the performance measurements are satisfied in the period 2014-2016. These awards are discussed under the heading “</w:t>
      </w:r>
      <w:r>
        <w:rPr>
          <w:rFonts w:ascii="Arial" w:cs="Arial" w:eastAsia="Arial" w:hAnsi="Arial"/>
          <w:sz w:val="14"/>
          <w:szCs w:val="14"/>
          <w:i w:val="1"/>
          <w:iCs w:val="1"/>
          <w:color w:val="auto"/>
        </w:rPr>
        <w:t>Performance Share Unit Awards</w:t>
      </w:r>
      <w:r>
        <w:rPr>
          <w:rFonts w:ascii="Arial" w:cs="Arial" w:eastAsia="Arial" w:hAnsi="Arial"/>
          <w:sz w:val="14"/>
          <w:szCs w:val="14"/>
          <w:color w:val="auto"/>
        </w:rPr>
        <w:t>” on pages 40 to 41.</w:t>
      </w:r>
    </w:p>
    <w:p>
      <w:pPr>
        <w:spacing w:after="0" w:line="68" w:lineRule="exact"/>
        <w:rPr>
          <w:sz w:val="20"/>
          <w:szCs w:val="20"/>
          <w:color w:val="auto"/>
        </w:rPr>
      </w:pPr>
    </w:p>
    <w:p>
      <w:pPr>
        <w:ind w:left="120" w:right="80" w:hanging="112"/>
        <w:spacing w:after="0" w:line="190" w:lineRule="auto"/>
        <w:tabs>
          <w:tab w:leader="none" w:pos="120" w:val="left"/>
        </w:tabs>
        <w:numPr>
          <w:ilvl w:val="0"/>
          <w:numId w:val="60"/>
        </w:numPr>
        <w:rPr>
          <w:rFonts w:ascii="Arial" w:cs="Arial" w:eastAsia="Arial" w:hAnsi="Arial"/>
          <w:sz w:val="21"/>
          <w:szCs w:val="21"/>
          <w:color w:val="auto"/>
          <w:vertAlign w:val="superscript"/>
        </w:rPr>
      </w:pPr>
      <w:r>
        <w:rPr>
          <w:rFonts w:ascii="Arial" w:cs="Arial" w:eastAsia="Arial" w:hAnsi="Arial"/>
          <w:sz w:val="13"/>
          <w:szCs w:val="13"/>
          <w:color w:val="auto"/>
        </w:rPr>
        <w:t>The amounts shown in column (i) reflect the number of shares of restricted stock units granted in 2014 as a one-time equity grant, with five-year cliff vesting. These awards are discussed under the heading “</w:t>
      </w:r>
      <w:r>
        <w:rPr>
          <w:rFonts w:ascii="Arial" w:cs="Arial" w:eastAsia="Arial" w:hAnsi="Arial"/>
          <w:sz w:val="13"/>
          <w:szCs w:val="13"/>
          <w:i w:val="1"/>
          <w:iCs w:val="1"/>
          <w:color w:val="auto"/>
        </w:rPr>
        <w:t>One-Time Long-Term Transformation Equity Grants”</w:t>
      </w:r>
      <w:r>
        <w:rPr>
          <w:rFonts w:ascii="Arial" w:cs="Arial" w:eastAsia="Arial" w:hAnsi="Arial"/>
          <w:sz w:val="13"/>
          <w:szCs w:val="13"/>
          <w:color w:val="auto"/>
        </w:rPr>
        <w:t xml:space="preserve"> on pages 41 to 42. These awards are also included in column (e) of the Summary Compensation Table on page 45.</w:t>
      </w:r>
    </w:p>
    <w:p>
      <w:pPr>
        <w:spacing w:after="0" w:line="69" w:lineRule="exact"/>
        <w:rPr>
          <w:sz w:val="20"/>
          <w:szCs w:val="20"/>
          <w:color w:val="auto"/>
        </w:rPr>
      </w:pPr>
    </w:p>
    <w:p>
      <w:pPr>
        <w:ind w:left="120" w:right="140" w:hanging="112"/>
        <w:spacing w:after="0" w:line="180" w:lineRule="auto"/>
        <w:tabs>
          <w:tab w:leader="none" w:pos="120"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The amounts shown in column (l) reflect the grant date fair value of each equity award computed in accordance with FASB ASC Topic 718. The components of these amounts are included in columns (e), (f) and (i) of the Summary Compensation Table on page 45.</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Stock-based incentive awards have been a significant component of Martin Marietta’s management compensation. In 1998, the Board of Directors adopted and Martin Marietta’s shareholders approved the Stock-Based Award Plan. In 2006, the shareholders approved amendments to the plan increasing the number of shares of Martin Marietta’s common stock available for restricted stock awards. They also approved amendments to the plan designed to more directly tie long-term compensation incentives to Martin Marietta’s performance and enhance flexibility in structuring long-term incentive compensation packages by providing a mix of different types of long-term stock-based incentives.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amended, the plan authorizes the Management Development and Compensation Committee to award stock options, restricted stock and other stock-based incentive awards to employees of Martin Marietta for the purpose of attracting, motivating, retaining and rewarding talented and experienced employees. The plan also provides for the automatic grant of non-qualified stock options to non-employee Directors of Martin Marietta on an annual basis, or as otherwise determined by the Board of Directors. Since 2005, Martin Marietta’s long-term compensation program consists of a mix of options and restricted stock units for senior level employees and restricted stock for other select employees.</w:t>
      </w:r>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awards granted in 2014 were based on the achievement by Martin Marietta of performance measures described under “</w:t>
      </w:r>
      <w:r>
        <w:rPr>
          <w:rFonts w:ascii="Arial" w:cs="Arial" w:eastAsia="Arial" w:hAnsi="Arial"/>
          <w:sz w:val="18"/>
          <w:szCs w:val="18"/>
          <w:i w:val="1"/>
          <w:iCs w:val="1"/>
          <w:color w:val="auto"/>
        </w:rPr>
        <w:t>LTIP Grants”</w:t>
      </w:r>
      <w:r>
        <w:rPr>
          <w:rFonts w:ascii="Arial" w:cs="Arial" w:eastAsia="Arial" w:hAnsi="Arial"/>
          <w:sz w:val="18"/>
          <w:szCs w:val="18"/>
          <w:color w:val="auto"/>
        </w:rPr>
        <w:t xml:space="preserve"> on pages 38 to 39.</w:t>
      </w:r>
    </w:p>
    <w:p>
      <w:pPr>
        <w:spacing w:after="0" w:line="13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maximum of 5,000,000 shares of Martin Marietta’s common stock are authorized under the plan for grants to key employees. Of that amount, 1,500,000 shares are available under the Plan for restricted stock awards. Each award under the plan is evidenced by an award agreement setting forth the number and type of stock-based incentives subject to the award and such other terms and conditions applicable to the award as determined by the Committee. No individual may receive annual grants for more than 10% of the shares available under the plan.</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Stock option awards to the named executive officers are made by the Committee, upon the recommendation of management of Martin Marietta, except for Mr. Nye, for whom the Committee formulates its own decision, and may be awarded based on past performance or as incentive for future efforts. Under the applicable award agreements, the 2014 options will vest and become exercisable in four equal increments on May 22, 2015, 2016, 2017, and 2018, and expire 10 years from the date of grant. Options awarded in 2014 expire 90 days following termination of employment, except in instances following death, disability or retirement. In the event of death, all outstanding options vest immediately and will expire one year following the date of death. For options awarded in 2014, the award agreement states that the terms of all outstanding options will be unaffected by normal retirement or disability and in the event of early retirement, options that are not vested will terminate on the second business day after such retirement and options that are vested will terminate 90 days thereafter unless the Chief Executive Officer or, in the case of Martin Marietta’s executive officers, the Committee, determines that all outstanding options will be unaffected by such retirement. In the event of a change of control (as defined in the plan), the vesting date of all outstanding options is accelerated so as to cause all outstanding options to become exercisable. The exercise price of the shares of common stock subject to options is set by the Committee and must be at least 100% of the fair market value of the shares on the date the option is granted.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9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w:t>
      </w:r>
    </w:p>
    <w:p>
      <w:pPr>
        <w:spacing w:after="0" w:line="17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table below shows for each of the named executive officers information with respect to the unexercised stock options (columns (b), (c), (e), and (f)), stock unit awards (columns (g) and (h)) that have not vested, and equity incentive plan awards (columns (d), (i), and (j)) outstanding on December 31, 2014.</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20" w:type="dxa"/>
            <w:vAlign w:val="bottom"/>
            <w:tcBorders>
              <w:left w:val="single" w:sz="8" w:color="47829E"/>
              <w:right w:val="single" w:sz="8" w:color="47829E"/>
            </w:tcBorders>
            <w:shd w:val="clear" w:color="auto" w:fill="47829E"/>
          </w:tcPr>
          <w:p>
            <w:pPr>
              <w:spacing w:after="0"/>
              <w:rPr>
                <w:sz w:val="22"/>
                <w:szCs w:val="22"/>
                <w:color w:val="auto"/>
              </w:rPr>
            </w:pPr>
          </w:p>
        </w:tc>
        <w:tc>
          <w:tcPr>
            <w:tcW w:w="1100" w:type="dxa"/>
            <w:vAlign w:val="bottom"/>
            <w:tcBorders>
              <w:right w:val="single" w:sz="8" w:color="47829E"/>
            </w:tcBorders>
            <w:shd w:val="clear" w:color="auto" w:fill="47829E"/>
          </w:tcPr>
          <w:p>
            <w:pPr>
              <w:spacing w:after="0"/>
              <w:rPr>
                <w:sz w:val="22"/>
                <w:szCs w:val="22"/>
                <w:color w:val="auto"/>
              </w:rPr>
            </w:pPr>
          </w:p>
        </w:tc>
        <w:tc>
          <w:tcPr>
            <w:tcW w:w="2360" w:type="dxa"/>
            <w:vAlign w:val="bottom"/>
            <w:tcBorders>
              <w:right w:val="single" w:sz="8" w:color="47829E"/>
            </w:tcBorders>
            <w:gridSpan w:val="2"/>
            <w:shd w:val="clear" w:color="auto" w:fill="47829E"/>
          </w:tcPr>
          <w:p>
            <w:pPr>
              <w:ind w:left="980"/>
              <w:spacing w:after="0"/>
              <w:rPr>
                <w:sz w:val="20"/>
                <w:szCs w:val="20"/>
                <w:color w:val="auto"/>
              </w:rPr>
            </w:pPr>
            <w:r>
              <w:rPr>
                <w:rFonts w:ascii="Arial" w:cs="Arial" w:eastAsia="Arial" w:hAnsi="Arial"/>
                <w:sz w:val="14"/>
                <w:szCs w:val="14"/>
                <w:b w:val="1"/>
                <w:bCs w:val="1"/>
                <w:color w:val="FFFFFF"/>
              </w:rPr>
              <w:t>OPTION AWARDS</w:t>
            </w:r>
          </w:p>
        </w:tc>
        <w:tc>
          <w:tcPr>
            <w:tcW w:w="920" w:type="dxa"/>
            <w:vAlign w:val="bottom"/>
            <w:tcBorders>
              <w:right w:val="single" w:sz="8" w:color="47829E"/>
            </w:tcBorders>
            <w:shd w:val="clear" w:color="auto" w:fill="47829E"/>
          </w:tcPr>
          <w:p>
            <w:pPr>
              <w:spacing w:after="0"/>
              <w:rPr>
                <w:sz w:val="22"/>
                <w:szCs w:val="22"/>
                <w:color w:val="auto"/>
              </w:rPr>
            </w:pPr>
          </w:p>
        </w:tc>
        <w:tc>
          <w:tcPr>
            <w:tcW w:w="960" w:type="dxa"/>
            <w:vAlign w:val="bottom"/>
            <w:tcBorders>
              <w:right w:val="single" w:sz="8" w:color="47829E"/>
            </w:tcBorders>
            <w:shd w:val="clear" w:color="auto" w:fill="47829E"/>
          </w:tcPr>
          <w:p>
            <w:pPr>
              <w:spacing w:after="0"/>
              <w:rPr>
                <w:sz w:val="22"/>
                <w:szCs w:val="22"/>
                <w:color w:val="auto"/>
              </w:rPr>
            </w:pPr>
          </w:p>
        </w:tc>
        <w:tc>
          <w:tcPr>
            <w:tcW w:w="1140" w:type="dxa"/>
            <w:vAlign w:val="bottom"/>
            <w:tcBorders>
              <w:right w:val="single" w:sz="8" w:color="47829E"/>
            </w:tcBorders>
            <w:shd w:val="clear" w:color="auto" w:fill="47829E"/>
          </w:tcPr>
          <w:p>
            <w:pPr>
              <w:spacing w:after="0"/>
              <w:rPr>
                <w:sz w:val="22"/>
                <w:szCs w:val="22"/>
                <w:color w:val="auto"/>
              </w:rPr>
            </w:pPr>
          </w:p>
        </w:tc>
        <w:tc>
          <w:tcPr>
            <w:tcW w:w="2300" w:type="dxa"/>
            <w:vAlign w:val="bottom"/>
            <w:tcBorders>
              <w:right w:val="single" w:sz="8" w:color="47829E"/>
            </w:tcBorders>
            <w:gridSpan w:val="2"/>
            <w:shd w:val="clear" w:color="auto" w:fill="47829E"/>
          </w:tcPr>
          <w:p>
            <w:pPr>
              <w:jc w:val="right"/>
              <w:ind w:right="532"/>
              <w:spacing w:after="0"/>
              <w:rPr>
                <w:sz w:val="20"/>
                <w:szCs w:val="20"/>
                <w:color w:val="auto"/>
              </w:rPr>
            </w:pPr>
            <w:r>
              <w:rPr>
                <w:rFonts w:ascii="Arial" w:cs="Arial" w:eastAsia="Arial" w:hAnsi="Arial"/>
                <w:sz w:val="14"/>
                <w:szCs w:val="14"/>
                <w:b w:val="1"/>
                <w:bCs w:val="1"/>
                <w:color w:val="FFFFFF"/>
              </w:rPr>
              <w:t>STOCK AWARDS</w:t>
            </w:r>
          </w:p>
        </w:tc>
        <w:tc>
          <w:tcPr>
            <w:tcW w:w="1240" w:type="dxa"/>
            <w:vAlign w:val="bottom"/>
            <w:tcBorders>
              <w:right w:val="single" w:sz="8" w:color="47829E"/>
            </w:tcBorders>
            <w:vMerge w:val="restart"/>
            <w:shd w:val="clear" w:color="auto" w:fill="47829E"/>
          </w:tcPr>
          <w:p>
            <w:pPr>
              <w:jc w:val="center"/>
              <w:ind w:right="32"/>
              <w:spacing w:after="0"/>
              <w:rPr>
                <w:sz w:val="20"/>
                <w:szCs w:val="20"/>
                <w:color w:val="auto"/>
              </w:rPr>
            </w:pPr>
            <w:r>
              <w:rPr>
                <w:rFonts w:ascii="Arial" w:cs="Arial" w:eastAsia="Arial" w:hAnsi="Arial"/>
                <w:sz w:val="14"/>
                <w:szCs w:val="14"/>
                <w:b w:val="1"/>
                <w:bCs w:val="1"/>
                <w:color w:val="FFFFFF"/>
                <w:w w:val="98"/>
              </w:rPr>
              <w:t>Equity</w:t>
            </w:r>
          </w:p>
        </w:tc>
        <w:tc>
          <w:tcPr>
            <w:tcW w:w="0" w:type="dxa"/>
            <w:vAlign w:val="bottom"/>
          </w:tcPr>
          <w:p>
            <w:pPr>
              <w:spacing w:after="0"/>
              <w:rPr>
                <w:sz w:val="1"/>
                <w:szCs w:val="1"/>
                <w:color w:val="auto"/>
              </w:rPr>
            </w:pPr>
          </w:p>
        </w:tc>
      </w:tr>
      <w:tr>
        <w:trPr>
          <w:trHeight w:val="145"/>
        </w:trPr>
        <w:tc>
          <w:tcPr>
            <w:tcW w:w="1420" w:type="dxa"/>
            <w:vAlign w:val="bottom"/>
            <w:tcBorders>
              <w:left w:val="single" w:sz="8" w:color="47829E"/>
              <w:right w:val="single" w:sz="8" w:color="47829E"/>
            </w:tcBorders>
            <w:shd w:val="clear" w:color="auto" w:fill="47829E"/>
          </w:tcPr>
          <w:p>
            <w:pPr>
              <w:spacing w:after="0"/>
              <w:rPr>
                <w:sz w:val="12"/>
                <w:szCs w:val="12"/>
                <w:color w:val="auto"/>
              </w:rPr>
            </w:pPr>
          </w:p>
        </w:tc>
        <w:tc>
          <w:tcPr>
            <w:tcW w:w="1100" w:type="dxa"/>
            <w:vAlign w:val="bottom"/>
            <w:tcBorders>
              <w:right w:val="single" w:sz="8" w:color="47829E"/>
            </w:tcBorders>
            <w:shd w:val="clear" w:color="auto" w:fill="47829E"/>
          </w:tcPr>
          <w:p>
            <w:pPr>
              <w:spacing w:after="0"/>
              <w:rPr>
                <w:sz w:val="12"/>
                <w:szCs w:val="12"/>
                <w:color w:val="auto"/>
              </w:rPr>
            </w:pPr>
          </w:p>
        </w:tc>
        <w:tc>
          <w:tcPr>
            <w:tcW w:w="1280" w:type="dxa"/>
            <w:vAlign w:val="bottom"/>
            <w:tcBorders>
              <w:right w:val="single" w:sz="8" w:color="47829E"/>
            </w:tcBorders>
            <w:shd w:val="clear" w:color="auto" w:fill="47829E"/>
          </w:tcPr>
          <w:p>
            <w:pPr>
              <w:spacing w:after="0"/>
              <w:rPr>
                <w:sz w:val="12"/>
                <w:szCs w:val="12"/>
                <w:color w:val="auto"/>
              </w:rPr>
            </w:pPr>
          </w:p>
        </w:tc>
        <w:tc>
          <w:tcPr>
            <w:tcW w:w="1080" w:type="dxa"/>
            <w:vAlign w:val="bottom"/>
            <w:tcBorders>
              <w:right w:val="single" w:sz="8" w:color="47829E"/>
            </w:tcBorders>
            <w:shd w:val="clear" w:color="auto" w:fill="47829E"/>
          </w:tcPr>
          <w:p>
            <w:pPr>
              <w:spacing w:after="0"/>
              <w:rPr>
                <w:sz w:val="12"/>
                <w:szCs w:val="12"/>
                <w:color w:val="auto"/>
              </w:rPr>
            </w:pPr>
          </w:p>
        </w:tc>
        <w:tc>
          <w:tcPr>
            <w:tcW w:w="920" w:type="dxa"/>
            <w:vAlign w:val="bottom"/>
            <w:tcBorders>
              <w:right w:val="single" w:sz="8" w:color="47829E"/>
            </w:tcBorders>
            <w:shd w:val="clear" w:color="auto" w:fill="47829E"/>
          </w:tcPr>
          <w:p>
            <w:pPr>
              <w:spacing w:after="0"/>
              <w:rPr>
                <w:sz w:val="12"/>
                <w:szCs w:val="12"/>
                <w:color w:val="auto"/>
              </w:rPr>
            </w:pPr>
          </w:p>
        </w:tc>
        <w:tc>
          <w:tcPr>
            <w:tcW w:w="960" w:type="dxa"/>
            <w:vAlign w:val="bottom"/>
            <w:tcBorders>
              <w:right w:val="single" w:sz="8" w:color="47829E"/>
            </w:tcBorders>
            <w:shd w:val="clear" w:color="auto" w:fill="47829E"/>
          </w:tcPr>
          <w:p>
            <w:pPr>
              <w:spacing w:after="0"/>
              <w:rPr>
                <w:sz w:val="12"/>
                <w:szCs w:val="12"/>
                <w:color w:val="auto"/>
              </w:rPr>
            </w:pPr>
          </w:p>
        </w:tc>
        <w:tc>
          <w:tcPr>
            <w:tcW w:w="1140" w:type="dxa"/>
            <w:vAlign w:val="bottom"/>
            <w:tcBorders>
              <w:right w:val="single" w:sz="8" w:color="47829E"/>
            </w:tcBorders>
            <w:shd w:val="clear" w:color="auto" w:fill="47829E"/>
          </w:tcPr>
          <w:p>
            <w:pPr>
              <w:spacing w:after="0"/>
              <w:rPr>
                <w:sz w:val="12"/>
                <w:szCs w:val="12"/>
                <w:color w:val="auto"/>
              </w:rPr>
            </w:pPr>
          </w:p>
        </w:tc>
        <w:tc>
          <w:tcPr>
            <w:tcW w:w="1120" w:type="dxa"/>
            <w:vAlign w:val="bottom"/>
            <w:tcBorders>
              <w:right w:val="single" w:sz="8" w:color="47829E"/>
            </w:tcBorders>
            <w:shd w:val="clear" w:color="auto" w:fill="47829E"/>
          </w:tcPr>
          <w:p>
            <w:pPr>
              <w:spacing w:after="0"/>
              <w:rPr>
                <w:sz w:val="12"/>
                <w:szCs w:val="12"/>
                <w:color w:val="auto"/>
              </w:rPr>
            </w:pPr>
          </w:p>
        </w:tc>
        <w:tc>
          <w:tcPr>
            <w:tcW w:w="1180" w:type="dxa"/>
            <w:vAlign w:val="bottom"/>
            <w:tcBorders>
              <w:right w:val="single" w:sz="8" w:color="47829E"/>
            </w:tcBorders>
            <w:shd w:val="clear" w:color="auto" w:fill="47829E"/>
          </w:tcPr>
          <w:p>
            <w:pPr>
              <w:spacing w:after="0"/>
              <w:rPr>
                <w:sz w:val="12"/>
                <w:szCs w:val="12"/>
                <w:color w:val="auto"/>
              </w:rPr>
            </w:pPr>
          </w:p>
        </w:tc>
        <w:tc>
          <w:tcPr>
            <w:tcW w:w="1240" w:type="dxa"/>
            <w:vAlign w:val="bottom"/>
            <w:tcBorders>
              <w:right w:val="single" w:sz="8" w:color="47829E"/>
            </w:tcBorders>
            <w:vMerge w:val="continue"/>
            <w:shd w:val="clear" w:color="auto" w:fill="47829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shd w:val="clear" w:color="auto" w:fill="47829E"/>
          </w:tcPr>
          <w:p>
            <w:pPr>
              <w:spacing w:after="0"/>
              <w:rPr>
                <w:sz w:val="12"/>
                <w:szCs w:val="12"/>
                <w:color w:val="auto"/>
              </w:rPr>
            </w:pPr>
          </w:p>
        </w:tc>
        <w:tc>
          <w:tcPr>
            <w:tcW w:w="1100" w:type="dxa"/>
            <w:vAlign w:val="bottom"/>
            <w:tcBorders>
              <w:right w:val="single" w:sz="8" w:color="47829E"/>
            </w:tcBorders>
            <w:shd w:val="clear" w:color="auto" w:fill="47829E"/>
          </w:tcPr>
          <w:p>
            <w:pPr>
              <w:spacing w:after="0"/>
              <w:rPr>
                <w:sz w:val="12"/>
                <w:szCs w:val="12"/>
                <w:color w:val="auto"/>
              </w:rPr>
            </w:pPr>
          </w:p>
        </w:tc>
        <w:tc>
          <w:tcPr>
            <w:tcW w:w="1280" w:type="dxa"/>
            <w:vAlign w:val="bottom"/>
            <w:tcBorders>
              <w:right w:val="single" w:sz="8" w:color="47829E"/>
            </w:tcBorders>
            <w:shd w:val="clear" w:color="auto" w:fill="47829E"/>
          </w:tcPr>
          <w:p>
            <w:pPr>
              <w:spacing w:after="0"/>
              <w:rPr>
                <w:sz w:val="12"/>
                <w:szCs w:val="12"/>
                <w:color w:val="auto"/>
              </w:rPr>
            </w:pPr>
          </w:p>
        </w:tc>
        <w:tc>
          <w:tcPr>
            <w:tcW w:w="1080" w:type="dxa"/>
            <w:vAlign w:val="bottom"/>
            <w:tcBorders>
              <w:right w:val="single" w:sz="8" w:color="47829E"/>
            </w:tcBorders>
            <w:shd w:val="clear" w:color="auto" w:fill="47829E"/>
          </w:tcPr>
          <w:p>
            <w:pPr>
              <w:spacing w:after="0"/>
              <w:rPr>
                <w:sz w:val="12"/>
                <w:szCs w:val="12"/>
                <w:color w:val="auto"/>
              </w:rPr>
            </w:pPr>
          </w:p>
        </w:tc>
        <w:tc>
          <w:tcPr>
            <w:tcW w:w="920" w:type="dxa"/>
            <w:vAlign w:val="bottom"/>
            <w:tcBorders>
              <w:right w:val="single" w:sz="8" w:color="47829E"/>
            </w:tcBorders>
            <w:shd w:val="clear" w:color="auto" w:fill="47829E"/>
          </w:tcPr>
          <w:p>
            <w:pPr>
              <w:spacing w:after="0"/>
              <w:rPr>
                <w:sz w:val="12"/>
                <w:szCs w:val="12"/>
                <w:color w:val="auto"/>
              </w:rPr>
            </w:pPr>
          </w:p>
        </w:tc>
        <w:tc>
          <w:tcPr>
            <w:tcW w:w="960" w:type="dxa"/>
            <w:vAlign w:val="bottom"/>
            <w:tcBorders>
              <w:right w:val="single" w:sz="8" w:color="47829E"/>
            </w:tcBorders>
            <w:shd w:val="clear" w:color="auto" w:fill="47829E"/>
          </w:tcPr>
          <w:p>
            <w:pPr>
              <w:spacing w:after="0"/>
              <w:rPr>
                <w:sz w:val="12"/>
                <w:szCs w:val="12"/>
                <w:color w:val="auto"/>
              </w:rPr>
            </w:pPr>
          </w:p>
        </w:tc>
        <w:tc>
          <w:tcPr>
            <w:tcW w:w="1140" w:type="dxa"/>
            <w:vAlign w:val="bottom"/>
            <w:tcBorders>
              <w:right w:val="single" w:sz="8" w:color="47829E"/>
            </w:tcBorders>
            <w:shd w:val="clear" w:color="auto" w:fill="47829E"/>
          </w:tcPr>
          <w:p>
            <w:pPr>
              <w:spacing w:after="0"/>
              <w:rPr>
                <w:sz w:val="12"/>
                <w:szCs w:val="12"/>
                <w:color w:val="auto"/>
              </w:rPr>
            </w:pPr>
          </w:p>
        </w:tc>
        <w:tc>
          <w:tcPr>
            <w:tcW w:w="1120" w:type="dxa"/>
            <w:vAlign w:val="bottom"/>
            <w:tcBorders>
              <w:right w:val="single" w:sz="8" w:color="47829E"/>
            </w:tcBorders>
            <w:shd w:val="clear" w:color="auto" w:fill="47829E"/>
          </w:tcPr>
          <w:p>
            <w:pPr>
              <w:spacing w:after="0"/>
              <w:rPr>
                <w:sz w:val="12"/>
                <w:szCs w:val="12"/>
                <w:color w:val="auto"/>
              </w:rPr>
            </w:pPr>
          </w:p>
        </w:tc>
        <w:tc>
          <w:tcPr>
            <w:tcW w:w="118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8"/>
              </w:rPr>
              <w:t>Equity</w:t>
            </w:r>
          </w:p>
        </w:tc>
        <w:tc>
          <w:tcPr>
            <w:tcW w:w="1240" w:type="dxa"/>
            <w:vAlign w:val="bottom"/>
            <w:tcBorders>
              <w:right w:val="single" w:sz="8" w:color="47829E"/>
            </w:tcBorders>
            <w:shd w:val="clear" w:color="auto" w:fill="47829E"/>
          </w:tcPr>
          <w:p>
            <w:pPr>
              <w:jc w:val="center"/>
              <w:ind w:right="32"/>
              <w:spacing w:after="0" w:line="149" w:lineRule="exact"/>
              <w:rPr>
                <w:sz w:val="20"/>
                <w:szCs w:val="20"/>
                <w:color w:val="auto"/>
              </w:rPr>
            </w:pPr>
            <w:r>
              <w:rPr>
                <w:rFonts w:ascii="Arial" w:cs="Arial" w:eastAsia="Arial" w:hAnsi="Arial"/>
                <w:sz w:val="14"/>
                <w:szCs w:val="14"/>
                <w:b w:val="1"/>
                <w:bCs w:val="1"/>
                <w:color w:val="FFFFFF"/>
                <w:w w:val="95"/>
              </w:rPr>
              <w:t>Incentive Plan</w:t>
            </w: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shd w:val="clear" w:color="auto" w:fill="47829E"/>
          </w:tcPr>
          <w:p>
            <w:pPr>
              <w:spacing w:after="0"/>
              <w:rPr>
                <w:sz w:val="12"/>
                <w:szCs w:val="12"/>
                <w:color w:val="auto"/>
              </w:rPr>
            </w:pPr>
          </w:p>
        </w:tc>
        <w:tc>
          <w:tcPr>
            <w:tcW w:w="1100" w:type="dxa"/>
            <w:vAlign w:val="bottom"/>
            <w:tcBorders>
              <w:right w:val="single" w:sz="8" w:color="47829E"/>
            </w:tcBorders>
            <w:shd w:val="clear" w:color="auto" w:fill="47829E"/>
          </w:tcPr>
          <w:p>
            <w:pPr>
              <w:spacing w:after="0"/>
              <w:rPr>
                <w:sz w:val="12"/>
                <w:szCs w:val="12"/>
                <w:color w:val="auto"/>
              </w:rPr>
            </w:pPr>
          </w:p>
        </w:tc>
        <w:tc>
          <w:tcPr>
            <w:tcW w:w="1280" w:type="dxa"/>
            <w:vAlign w:val="bottom"/>
            <w:tcBorders>
              <w:right w:val="single" w:sz="8" w:color="47829E"/>
            </w:tcBorders>
            <w:shd w:val="clear" w:color="auto" w:fill="47829E"/>
          </w:tcPr>
          <w:p>
            <w:pPr>
              <w:spacing w:after="0"/>
              <w:rPr>
                <w:sz w:val="12"/>
                <w:szCs w:val="12"/>
                <w:color w:val="auto"/>
              </w:rPr>
            </w:pPr>
          </w:p>
        </w:tc>
        <w:tc>
          <w:tcPr>
            <w:tcW w:w="1080" w:type="dxa"/>
            <w:vAlign w:val="bottom"/>
            <w:tcBorders>
              <w:right w:val="single" w:sz="8" w:color="47829E"/>
            </w:tcBorders>
            <w:shd w:val="clear" w:color="auto" w:fill="47829E"/>
          </w:tcPr>
          <w:p>
            <w:pPr>
              <w:jc w:val="center"/>
              <w:ind w:left="32"/>
              <w:spacing w:after="0" w:line="149" w:lineRule="exact"/>
              <w:rPr>
                <w:sz w:val="20"/>
                <w:szCs w:val="20"/>
                <w:color w:val="auto"/>
              </w:rPr>
            </w:pPr>
            <w:r>
              <w:rPr>
                <w:rFonts w:ascii="Arial" w:cs="Arial" w:eastAsia="Arial" w:hAnsi="Arial"/>
                <w:sz w:val="14"/>
                <w:szCs w:val="14"/>
                <w:b w:val="1"/>
                <w:bCs w:val="1"/>
                <w:color w:val="FFFFFF"/>
                <w:w w:val="98"/>
              </w:rPr>
              <w:t>Equity</w:t>
            </w:r>
          </w:p>
        </w:tc>
        <w:tc>
          <w:tcPr>
            <w:tcW w:w="920" w:type="dxa"/>
            <w:vAlign w:val="bottom"/>
            <w:tcBorders>
              <w:right w:val="single" w:sz="8" w:color="47829E"/>
            </w:tcBorders>
            <w:shd w:val="clear" w:color="auto" w:fill="47829E"/>
          </w:tcPr>
          <w:p>
            <w:pPr>
              <w:spacing w:after="0"/>
              <w:rPr>
                <w:sz w:val="12"/>
                <w:szCs w:val="12"/>
                <w:color w:val="auto"/>
              </w:rPr>
            </w:pPr>
          </w:p>
        </w:tc>
        <w:tc>
          <w:tcPr>
            <w:tcW w:w="960" w:type="dxa"/>
            <w:vAlign w:val="bottom"/>
            <w:tcBorders>
              <w:right w:val="single" w:sz="8" w:color="47829E"/>
            </w:tcBorders>
            <w:shd w:val="clear" w:color="auto" w:fill="47829E"/>
          </w:tcPr>
          <w:p>
            <w:pPr>
              <w:spacing w:after="0"/>
              <w:rPr>
                <w:sz w:val="12"/>
                <w:szCs w:val="12"/>
                <w:color w:val="auto"/>
              </w:rPr>
            </w:pPr>
          </w:p>
        </w:tc>
        <w:tc>
          <w:tcPr>
            <w:tcW w:w="1140" w:type="dxa"/>
            <w:vAlign w:val="bottom"/>
            <w:tcBorders>
              <w:right w:val="single" w:sz="8" w:color="47829E"/>
            </w:tcBorders>
            <w:shd w:val="clear" w:color="auto" w:fill="47829E"/>
          </w:tcPr>
          <w:p>
            <w:pPr>
              <w:spacing w:after="0"/>
              <w:rPr>
                <w:sz w:val="12"/>
                <w:szCs w:val="12"/>
                <w:color w:val="auto"/>
              </w:rPr>
            </w:pPr>
          </w:p>
        </w:tc>
        <w:tc>
          <w:tcPr>
            <w:tcW w:w="1120" w:type="dxa"/>
            <w:vAlign w:val="bottom"/>
            <w:tcBorders>
              <w:right w:val="single" w:sz="8" w:color="47829E"/>
            </w:tcBorders>
            <w:shd w:val="clear" w:color="auto" w:fill="47829E"/>
          </w:tcPr>
          <w:p>
            <w:pPr>
              <w:spacing w:after="0"/>
              <w:rPr>
                <w:sz w:val="12"/>
                <w:szCs w:val="12"/>
                <w:color w:val="auto"/>
              </w:rPr>
            </w:pPr>
          </w:p>
        </w:tc>
        <w:tc>
          <w:tcPr>
            <w:tcW w:w="118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5"/>
              </w:rPr>
              <w:t>Incentive Plan</w:t>
            </w:r>
          </w:p>
        </w:tc>
        <w:tc>
          <w:tcPr>
            <w:tcW w:w="1240" w:type="dxa"/>
            <w:vAlign w:val="bottom"/>
            <w:tcBorders>
              <w:right w:val="single" w:sz="8" w:color="47829E"/>
            </w:tcBorders>
            <w:shd w:val="clear" w:color="auto" w:fill="47829E"/>
          </w:tcPr>
          <w:p>
            <w:pPr>
              <w:jc w:val="center"/>
              <w:ind w:right="32"/>
              <w:spacing w:after="0" w:line="149" w:lineRule="exact"/>
              <w:rPr>
                <w:sz w:val="20"/>
                <w:szCs w:val="20"/>
                <w:color w:val="auto"/>
              </w:rPr>
            </w:pPr>
            <w:r>
              <w:rPr>
                <w:rFonts w:ascii="Arial" w:cs="Arial" w:eastAsia="Arial" w:hAnsi="Arial"/>
                <w:sz w:val="14"/>
                <w:szCs w:val="14"/>
                <w:b w:val="1"/>
                <w:bCs w:val="1"/>
                <w:color w:val="FFFFFF"/>
                <w:w w:val="97"/>
              </w:rPr>
              <w:t>Awards:</w:t>
            </w: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shd w:val="clear" w:color="auto" w:fill="47829E"/>
          </w:tcPr>
          <w:p>
            <w:pPr>
              <w:spacing w:after="0"/>
              <w:rPr>
                <w:sz w:val="12"/>
                <w:szCs w:val="12"/>
                <w:color w:val="auto"/>
              </w:rPr>
            </w:pPr>
          </w:p>
        </w:tc>
        <w:tc>
          <w:tcPr>
            <w:tcW w:w="1100" w:type="dxa"/>
            <w:vAlign w:val="bottom"/>
            <w:tcBorders>
              <w:right w:val="single" w:sz="8" w:color="47829E"/>
            </w:tcBorders>
            <w:shd w:val="clear" w:color="auto" w:fill="47829E"/>
          </w:tcPr>
          <w:p>
            <w:pPr>
              <w:spacing w:after="0"/>
              <w:rPr>
                <w:sz w:val="12"/>
                <w:szCs w:val="12"/>
                <w:color w:val="auto"/>
              </w:rPr>
            </w:pPr>
          </w:p>
        </w:tc>
        <w:tc>
          <w:tcPr>
            <w:tcW w:w="1280" w:type="dxa"/>
            <w:vAlign w:val="bottom"/>
            <w:tcBorders>
              <w:right w:val="single" w:sz="8" w:color="47829E"/>
            </w:tcBorders>
            <w:shd w:val="clear" w:color="auto" w:fill="47829E"/>
          </w:tcPr>
          <w:p>
            <w:pPr>
              <w:spacing w:after="0"/>
              <w:rPr>
                <w:sz w:val="12"/>
                <w:szCs w:val="12"/>
                <w:color w:val="auto"/>
              </w:rPr>
            </w:pPr>
          </w:p>
        </w:tc>
        <w:tc>
          <w:tcPr>
            <w:tcW w:w="1080" w:type="dxa"/>
            <w:vAlign w:val="bottom"/>
            <w:tcBorders>
              <w:right w:val="single" w:sz="8" w:color="47829E"/>
            </w:tcBorders>
            <w:shd w:val="clear" w:color="auto" w:fill="47829E"/>
          </w:tcPr>
          <w:p>
            <w:pPr>
              <w:jc w:val="center"/>
              <w:ind w:left="32"/>
              <w:spacing w:after="0" w:line="149" w:lineRule="exact"/>
              <w:rPr>
                <w:sz w:val="20"/>
                <w:szCs w:val="20"/>
                <w:color w:val="auto"/>
              </w:rPr>
            </w:pPr>
            <w:r>
              <w:rPr>
                <w:rFonts w:ascii="Arial" w:cs="Arial" w:eastAsia="Arial" w:hAnsi="Arial"/>
                <w:sz w:val="14"/>
                <w:szCs w:val="14"/>
                <w:b w:val="1"/>
                <w:bCs w:val="1"/>
                <w:color w:val="FFFFFF"/>
                <w:w w:val="95"/>
              </w:rPr>
              <w:t>Incentive Plan</w:t>
            </w:r>
          </w:p>
        </w:tc>
        <w:tc>
          <w:tcPr>
            <w:tcW w:w="920" w:type="dxa"/>
            <w:vAlign w:val="bottom"/>
            <w:tcBorders>
              <w:right w:val="single" w:sz="8" w:color="47829E"/>
            </w:tcBorders>
            <w:shd w:val="clear" w:color="auto" w:fill="47829E"/>
          </w:tcPr>
          <w:p>
            <w:pPr>
              <w:spacing w:after="0"/>
              <w:rPr>
                <w:sz w:val="12"/>
                <w:szCs w:val="12"/>
                <w:color w:val="auto"/>
              </w:rPr>
            </w:pPr>
          </w:p>
        </w:tc>
        <w:tc>
          <w:tcPr>
            <w:tcW w:w="960" w:type="dxa"/>
            <w:vAlign w:val="bottom"/>
            <w:tcBorders>
              <w:right w:val="single" w:sz="8" w:color="47829E"/>
            </w:tcBorders>
            <w:shd w:val="clear" w:color="auto" w:fill="47829E"/>
          </w:tcPr>
          <w:p>
            <w:pPr>
              <w:spacing w:after="0"/>
              <w:rPr>
                <w:sz w:val="12"/>
                <w:szCs w:val="12"/>
                <w:color w:val="auto"/>
              </w:rPr>
            </w:pPr>
          </w:p>
        </w:tc>
        <w:tc>
          <w:tcPr>
            <w:tcW w:w="1140" w:type="dxa"/>
            <w:vAlign w:val="bottom"/>
            <w:tcBorders>
              <w:right w:val="single" w:sz="8" w:color="47829E"/>
            </w:tcBorders>
            <w:shd w:val="clear" w:color="auto" w:fill="47829E"/>
          </w:tcPr>
          <w:p>
            <w:pPr>
              <w:spacing w:after="0"/>
              <w:rPr>
                <w:sz w:val="12"/>
                <w:szCs w:val="12"/>
                <w:color w:val="auto"/>
              </w:rPr>
            </w:pPr>
          </w:p>
        </w:tc>
        <w:tc>
          <w:tcPr>
            <w:tcW w:w="1120" w:type="dxa"/>
            <w:vAlign w:val="bottom"/>
            <w:tcBorders>
              <w:right w:val="single" w:sz="8" w:color="47829E"/>
            </w:tcBorders>
            <w:shd w:val="clear" w:color="auto" w:fill="47829E"/>
          </w:tcPr>
          <w:p>
            <w:pPr>
              <w:spacing w:after="0"/>
              <w:rPr>
                <w:sz w:val="12"/>
                <w:szCs w:val="12"/>
                <w:color w:val="auto"/>
              </w:rPr>
            </w:pPr>
          </w:p>
        </w:tc>
        <w:tc>
          <w:tcPr>
            <w:tcW w:w="118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7"/>
              </w:rPr>
              <w:t>Awards:</w:t>
            </w:r>
          </w:p>
        </w:tc>
        <w:tc>
          <w:tcPr>
            <w:tcW w:w="1240" w:type="dxa"/>
            <w:vAlign w:val="bottom"/>
            <w:tcBorders>
              <w:right w:val="single" w:sz="8" w:color="47829E"/>
            </w:tcBorders>
            <w:shd w:val="clear" w:color="auto" w:fill="47829E"/>
          </w:tcPr>
          <w:p>
            <w:pPr>
              <w:jc w:val="center"/>
              <w:ind w:right="52"/>
              <w:spacing w:after="0" w:line="149" w:lineRule="exact"/>
              <w:rPr>
                <w:sz w:val="20"/>
                <w:szCs w:val="20"/>
                <w:color w:val="auto"/>
              </w:rPr>
            </w:pPr>
            <w:r>
              <w:rPr>
                <w:rFonts w:ascii="Arial" w:cs="Arial" w:eastAsia="Arial" w:hAnsi="Arial"/>
                <w:sz w:val="14"/>
                <w:szCs w:val="14"/>
                <w:b w:val="1"/>
                <w:bCs w:val="1"/>
                <w:color w:val="FFFFFF"/>
                <w:w w:val="95"/>
              </w:rPr>
              <w:t>Market or</w:t>
            </w: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shd w:val="clear" w:color="auto" w:fill="47829E"/>
          </w:tcPr>
          <w:p>
            <w:pPr>
              <w:spacing w:after="0"/>
              <w:rPr>
                <w:sz w:val="12"/>
                <w:szCs w:val="12"/>
                <w:color w:val="auto"/>
              </w:rPr>
            </w:pPr>
          </w:p>
        </w:tc>
        <w:tc>
          <w:tcPr>
            <w:tcW w:w="1100" w:type="dxa"/>
            <w:vAlign w:val="bottom"/>
            <w:tcBorders>
              <w:right w:val="single" w:sz="8" w:color="47829E"/>
            </w:tcBorders>
            <w:shd w:val="clear" w:color="auto" w:fill="47829E"/>
          </w:tcPr>
          <w:p>
            <w:pPr>
              <w:spacing w:after="0"/>
              <w:rPr>
                <w:sz w:val="12"/>
                <w:szCs w:val="12"/>
                <w:color w:val="auto"/>
              </w:rPr>
            </w:pPr>
          </w:p>
        </w:tc>
        <w:tc>
          <w:tcPr>
            <w:tcW w:w="1280" w:type="dxa"/>
            <w:vAlign w:val="bottom"/>
            <w:tcBorders>
              <w:right w:val="single" w:sz="8" w:color="47829E"/>
            </w:tcBorders>
            <w:shd w:val="clear" w:color="auto" w:fill="47829E"/>
          </w:tcPr>
          <w:p>
            <w:pPr>
              <w:spacing w:after="0"/>
              <w:rPr>
                <w:sz w:val="12"/>
                <w:szCs w:val="12"/>
                <w:color w:val="auto"/>
              </w:rPr>
            </w:pPr>
          </w:p>
        </w:tc>
        <w:tc>
          <w:tcPr>
            <w:tcW w:w="1080" w:type="dxa"/>
            <w:vAlign w:val="bottom"/>
            <w:tcBorders>
              <w:right w:val="single" w:sz="8" w:color="47829E"/>
            </w:tcBorders>
            <w:shd w:val="clear" w:color="auto" w:fill="47829E"/>
          </w:tcPr>
          <w:p>
            <w:pPr>
              <w:jc w:val="center"/>
              <w:ind w:left="32"/>
              <w:spacing w:after="0" w:line="149" w:lineRule="exact"/>
              <w:rPr>
                <w:sz w:val="20"/>
                <w:szCs w:val="20"/>
                <w:color w:val="auto"/>
              </w:rPr>
            </w:pPr>
            <w:r>
              <w:rPr>
                <w:rFonts w:ascii="Arial" w:cs="Arial" w:eastAsia="Arial" w:hAnsi="Arial"/>
                <w:sz w:val="14"/>
                <w:szCs w:val="14"/>
                <w:b w:val="1"/>
                <w:bCs w:val="1"/>
                <w:color w:val="FFFFFF"/>
                <w:w w:val="97"/>
              </w:rPr>
              <w:t>Awards:</w:t>
            </w:r>
          </w:p>
        </w:tc>
        <w:tc>
          <w:tcPr>
            <w:tcW w:w="920" w:type="dxa"/>
            <w:vAlign w:val="bottom"/>
            <w:tcBorders>
              <w:right w:val="single" w:sz="8" w:color="47829E"/>
            </w:tcBorders>
            <w:shd w:val="clear" w:color="auto" w:fill="47829E"/>
          </w:tcPr>
          <w:p>
            <w:pPr>
              <w:spacing w:after="0"/>
              <w:rPr>
                <w:sz w:val="12"/>
                <w:szCs w:val="12"/>
                <w:color w:val="auto"/>
              </w:rPr>
            </w:pPr>
          </w:p>
        </w:tc>
        <w:tc>
          <w:tcPr>
            <w:tcW w:w="960" w:type="dxa"/>
            <w:vAlign w:val="bottom"/>
            <w:tcBorders>
              <w:right w:val="single" w:sz="8" w:color="47829E"/>
            </w:tcBorders>
            <w:shd w:val="clear" w:color="auto" w:fill="47829E"/>
          </w:tcPr>
          <w:p>
            <w:pPr>
              <w:spacing w:after="0"/>
              <w:rPr>
                <w:sz w:val="12"/>
                <w:szCs w:val="12"/>
                <w:color w:val="auto"/>
              </w:rPr>
            </w:pPr>
          </w:p>
        </w:tc>
        <w:tc>
          <w:tcPr>
            <w:tcW w:w="1140" w:type="dxa"/>
            <w:vAlign w:val="bottom"/>
            <w:tcBorders>
              <w:right w:val="single" w:sz="8" w:color="47829E"/>
            </w:tcBorders>
            <w:shd w:val="clear" w:color="auto" w:fill="47829E"/>
          </w:tcPr>
          <w:p>
            <w:pPr>
              <w:spacing w:after="0"/>
              <w:rPr>
                <w:sz w:val="12"/>
                <w:szCs w:val="12"/>
                <w:color w:val="auto"/>
              </w:rPr>
            </w:pPr>
          </w:p>
        </w:tc>
        <w:tc>
          <w:tcPr>
            <w:tcW w:w="112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7"/>
              </w:rPr>
              <w:t>Market</w:t>
            </w:r>
          </w:p>
        </w:tc>
        <w:tc>
          <w:tcPr>
            <w:tcW w:w="118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4"/>
              </w:rPr>
              <w:t>Number of</w:t>
            </w:r>
          </w:p>
        </w:tc>
        <w:tc>
          <w:tcPr>
            <w:tcW w:w="1240" w:type="dxa"/>
            <w:vAlign w:val="bottom"/>
            <w:tcBorders>
              <w:right w:val="single" w:sz="8" w:color="47829E"/>
            </w:tcBorders>
            <w:shd w:val="clear" w:color="auto" w:fill="47829E"/>
          </w:tcPr>
          <w:p>
            <w:pPr>
              <w:jc w:val="center"/>
              <w:ind w:right="52"/>
              <w:spacing w:after="0" w:line="149" w:lineRule="exact"/>
              <w:rPr>
                <w:sz w:val="20"/>
                <w:szCs w:val="20"/>
                <w:color w:val="auto"/>
              </w:rPr>
            </w:pPr>
            <w:r>
              <w:rPr>
                <w:rFonts w:ascii="Arial" w:cs="Arial" w:eastAsia="Arial" w:hAnsi="Arial"/>
                <w:sz w:val="14"/>
                <w:szCs w:val="14"/>
                <w:b w:val="1"/>
                <w:bCs w:val="1"/>
                <w:color w:val="FFFFFF"/>
                <w:w w:val="95"/>
              </w:rPr>
              <w:t>Payout Value</w:t>
            </w: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shd w:val="clear" w:color="auto" w:fill="47829E"/>
          </w:tcPr>
          <w:p>
            <w:pPr>
              <w:spacing w:after="0"/>
              <w:rPr>
                <w:sz w:val="12"/>
                <w:szCs w:val="12"/>
                <w:color w:val="auto"/>
              </w:rPr>
            </w:pPr>
          </w:p>
        </w:tc>
        <w:tc>
          <w:tcPr>
            <w:tcW w:w="110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7"/>
              </w:rPr>
              <w:t>Number of</w:t>
            </w:r>
          </w:p>
        </w:tc>
        <w:tc>
          <w:tcPr>
            <w:tcW w:w="128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4"/>
              </w:rPr>
              <w:t>Number of</w:t>
            </w:r>
          </w:p>
        </w:tc>
        <w:tc>
          <w:tcPr>
            <w:tcW w:w="1080" w:type="dxa"/>
            <w:vAlign w:val="bottom"/>
            <w:tcBorders>
              <w:right w:val="single" w:sz="8" w:color="47829E"/>
            </w:tcBorders>
            <w:shd w:val="clear" w:color="auto" w:fill="47829E"/>
          </w:tcPr>
          <w:p>
            <w:pPr>
              <w:jc w:val="center"/>
              <w:ind w:left="32"/>
              <w:spacing w:after="0" w:line="149" w:lineRule="exact"/>
              <w:rPr>
                <w:sz w:val="20"/>
                <w:szCs w:val="20"/>
                <w:color w:val="auto"/>
              </w:rPr>
            </w:pPr>
            <w:r>
              <w:rPr>
                <w:rFonts w:ascii="Arial" w:cs="Arial" w:eastAsia="Arial" w:hAnsi="Arial"/>
                <w:sz w:val="14"/>
                <w:szCs w:val="14"/>
                <w:b w:val="1"/>
                <w:bCs w:val="1"/>
                <w:color w:val="FFFFFF"/>
                <w:w w:val="94"/>
              </w:rPr>
              <w:t>Number of</w:t>
            </w:r>
          </w:p>
        </w:tc>
        <w:tc>
          <w:tcPr>
            <w:tcW w:w="920" w:type="dxa"/>
            <w:vAlign w:val="bottom"/>
            <w:tcBorders>
              <w:right w:val="single" w:sz="8" w:color="47829E"/>
            </w:tcBorders>
            <w:shd w:val="clear" w:color="auto" w:fill="47829E"/>
          </w:tcPr>
          <w:p>
            <w:pPr>
              <w:spacing w:after="0"/>
              <w:rPr>
                <w:sz w:val="12"/>
                <w:szCs w:val="12"/>
                <w:color w:val="auto"/>
              </w:rPr>
            </w:pPr>
          </w:p>
        </w:tc>
        <w:tc>
          <w:tcPr>
            <w:tcW w:w="960" w:type="dxa"/>
            <w:vAlign w:val="bottom"/>
            <w:tcBorders>
              <w:right w:val="single" w:sz="8" w:color="47829E"/>
            </w:tcBorders>
            <w:shd w:val="clear" w:color="auto" w:fill="47829E"/>
          </w:tcPr>
          <w:p>
            <w:pPr>
              <w:spacing w:after="0"/>
              <w:rPr>
                <w:sz w:val="12"/>
                <w:szCs w:val="12"/>
                <w:color w:val="auto"/>
              </w:rPr>
            </w:pPr>
          </w:p>
        </w:tc>
        <w:tc>
          <w:tcPr>
            <w:tcW w:w="1140" w:type="dxa"/>
            <w:vAlign w:val="bottom"/>
            <w:tcBorders>
              <w:right w:val="single" w:sz="8" w:color="47829E"/>
            </w:tcBorders>
            <w:shd w:val="clear" w:color="auto" w:fill="47829E"/>
          </w:tcPr>
          <w:p>
            <w:pPr>
              <w:jc w:val="center"/>
              <w:ind w:right="43"/>
              <w:spacing w:after="0" w:line="149" w:lineRule="exact"/>
              <w:rPr>
                <w:sz w:val="20"/>
                <w:szCs w:val="20"/>
                <w:color w:val="auto"/>
              </w:rPr>
            </w:pPr>
            <w:r>
              <w:rPr>
                <w:rFonts w:ascii="Arial" w:cs="Arial" w:eastAsia="Arial" w:hAnsi="Arial"/>
                <w:sz w:val="14"/>
                <w:szCs w:val="14"/>
                <w:b w:val="1"/>
                <w:bCs w:val="1"/>
                <w:color w:val="FFFFFF"/>
                <w:w w:val="98"/>
              </w:rPr>
              <w:t>Number</w:t>
            </w:r>
          </w:p>
        </w:tc>
        <w:tc>
          <w:tcPr>
            <w:tcW w:w="112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5"/>
              </w:rPr>
              <w:t>Value of</w:t>
            </w:r>
          </w:p>
        </w:tc>
        <w:tc>
          <w:tcPr>
            <w:tcW w:w="118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5"/>
              </w:rPr>
              <w:t>Unearned</w:t>
            </w:r>
          </w:p>
        </w:tc>
        <w:tc>
          <w:tcPr>
            <w:tcW w:w="1240" w:type="dxa"/>
            <w:vAlign w:val="bottom"/>
            <w:tcBorders>
              <w:right w:val="single" w:sz="8" w:color="47829E"/>
            </w:tcBorders>
            <w:shd w:val="clear" w:color="auto" w:fill="47829E"/>
          </w:tcPr>
          <w:p>
            <w:pPr>
              <w:jc w:val="center"/>
              <w:ind w:right="52"/>
              <w:spacing w:after="0" w:line="149" w:lineRule="exact"/>
              <w:rPr>
                <w:sz w:val="20"/>
                <w:szCs w:val="20"/>
                <w:color w:val="auto"/>
              </w:rPr>
            </w:pPr>
            <w:r>
              <w:rPr>
                <w:rFonts w:ascii="Arial" w:cs="Arial" w:eastAsia="Arial" w:hAnsi="Arial"/>
                <w:sz w:val="14"/>
                <w:szCs w:val="14"/>
                <w:b w:val="1"/>
                <w:bCs w:val="1"/>
                <w:color w:val="FFFFFF"/>
                <w:w w:val="96"/>
              </w:rPr>
              <w:t>or Unearned</w:t>
            </w: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shd w:val="clear" w:color="auto" w:fill="47829E"/>
          </w:tcPr>
          <w:p>
            <w:pPr>
              <w:spacing w:after="0"/>
              <w:rPr>
                <w:sz w:val="12"/>
                <w:szCs w:val="12"/>
                <w:color w:val="auto"/>
              </w:rPr>
            </w:pPr>
          </w:p>
        </w:tc>
        <w:tc>
          <w:tcPr>
            <w:tcW w:w="110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5"/>
              </w:rPr>
              <w:t>Securities</w:t>
            </w:r>
          </w:p>
        </w:tc>
        <w:tc>
          <w:tcPr>
            <w:tcW w:w="128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8"/>
              </w:rPr>
              <w:t>Securities</w:t>
            </w:r>
          </w:p>
        </w:tc>
        <w:tc>
          <w:tcPr>
            <w:tcW w:w="1080" w:type="dxa"/>
            <w:vAlign w:val="bottom"/>
            <w:tcBorders>
              <w:right w:val="single" w:sz="8" w:color="47829E"/>
            </w:tcBorders>
            <w:shd w:val="clear" w:color="auto" w:fill="47829E"/>
          </w:tcPr>
          <w:p>
            <w:pPr>
              <w:jc w:val="center"/>
              <w:ind w:left="32"/>
              <w:spacing w:after="0" w:line="149" w:lineRule="exact"/>
              <w:rPr>
                <w:sz w:val="20"/>
                <w:szCs w:val="20"/>
                <w:color w:val="auto"/>
              </w:rPr>
            </w:pPr>
            <w:r>
              <w:rPr>
                <w:rFonts w:ascii="Arial" w:cs="Arial" w:eastAsia="Arial" w:hAnsi="Arial"/>
                <w:sz w:val="14"/>
                <w:szCs w:val="14"/>
                <w:b w:val="1"/>
                <w:bCs w:val="1"/>
                <w:color w:val="FFFFFF"/>
                <w:w w:val="98"/>
              </w:rPr>
              <w:t>Securities</w:t>
            </w:r>
          </w:p>
        </w:tc>
        <w:tc>
          <w:tcPr>
            <w:tcW w:w="920" w:type="dxa"/>
            <w:vAlign w:val="bottom"/>
            <w:tcBorders>
              <w:right w:val="single" w:sz="8" w:color="47829E"/>
            </w:tcBorders>
            <w:shd w:val="clear" w:color="auto" w:fill="47829E"/>
          </w:tcPr>
          <w:p>
            <w:pPr>
              <w:spacing w:after="0"/>
              <w:rPr>
                <w:sz w:val="12"/>
                <w:szCs w:val="12"/>
                <w:color w:val="auto"/>
              </w:rPr>
            </w:pPr>
          </w:p>
        </w:tc>
        <w:tc>
          <w:tcPr>
            <w:tcW w:w="960" w:type="dxa"/>
            <w:vAlign w:val="bottom"/>
            <w:tcBorders>
              <w:right w:val="single" w:sz="8" w:color="47829E"/>
            </w:tcBorders>
            <w:shd w:val="clear" w:color="auto" w:fill="47829E"/>
          </w:tcPr>
          <w:p>
            <w:pPr>
              <w:spacing w:after="0"/>
              <w:rPr>
                <w:sz w:val="12"/>
                <w:szCs w:val="12"/>
                <w:color w:val="auto"/>
              </w:rPr>
            </w:pPr>
          </w:p>
        </w:tc>
        <w:tc>
          <w:tcPr>
            <w:tcW w:w="1140" w:type="dxa"/>
            <w:vAlign w:val="bottom"/>
            <w:tcBorders>
              <w:right w:val="single" w:sz="8" w:color="47829E"/>
            </w:tcBorders>
            <w:shd w:val="clear" w:color="auto" w:fill="47829E"/>
          </w:tcPr>
          <w:p>
            <w:pPr>
              <w:jc w:val="center"/>
              <w:ind w:right="43"/>
              <w:spacing w:after="0" w:line="149" w:lineRule="exact"/>
              <w:rPr>
                <w:sz w:val="20"/>
                <w:szCs w:val="20"/>
                <w:color w:val="auto"/>
              </w:rPr>
            </w:pPr>
            <w:r>
              <w:rPr>
                <w:rFonts w:ascii="Arial" w:cs="Arial" w:eastAsia="Arial" w:hAnsi="Arial"/>
                <w:sz w:val="14"/>
                <w:szCs w:val="14"/>
                <w:b w:val="1"/>
                <w:bCs w:val="1"/>
                <w:color w:val="FFFFFF"/>
                <w:w w:val="97"/>
              </w:rPr>
              <w:t>of Shares or</w:t>
            </w:r>
          </w:p>
        </w:tc>
        <w:tc>
          <w:tcPr>
            <w:tcW w:w="112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5"/>
              </w:rPr>
              <w:t>Shares or</w:t>
            </w:r>
          </w:p>
        </w:tc>
        <w:tc>
          <w:tcPr>
            <w:tcW w:w="118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6"/>
              </w:rPr>
              <w:t>Shares, Units</w:t>
            </w:r>
          </w:p>
        </w:tc>
        <w:tc>
          <w:tcPr>
            <w:tcW w:w="1240" w:type="dxa"/>
            <w:vAlign w:val="bottom"/>
            <w:tcBorders>
              <w:right w:val="single" w:sz="8" w:color="47829E"/>
            </w:tcBorders>
            <w:shd w:val="clear" w:color="auto" w:fill="47829E"/>
          </w:tcPr>
          <w:p>
            <w:pPr>
              <w:jc w:val="center"/>
              <w:ind w:right="32"/>
              <w:spacing w:after="0" w:line="149" w:lineRule="exact"/>
              <w:rPr>
                <w:sz w:val="20"/>
                <w:szCs w:val="20"/>
                <w:color w:val="auto"/>
              </w:rPr>
            </w:pPr>
            <w:r>
              <w:rPr>
                <w:rFonts w:ascii="Arial" w:cs="Arial" w:eastAsia="Arial" w:hAnsi="Arial"/>
                <w:sz w:val="14"/>
                <w:szCs w:val="14"/>
                <w:b w:val="1"/>
                <w:bCs w:val="1"/>
                <w:color w:val="FFFFFF"/>
                <w:w w:val="96"/>
              </w:rPr>
              <w:t>Shares, Units</w:t>
            </w: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shd w:val="clear" w:color="auto" w:fill="47829E"/>
          </w:tcPr>
          <w:p>
            <w:pPr>
              <w:spacing w:after="0"/>
              <w:rPr>
                <w:sz w:val="12"/>
                <w:szCs w:val="12"/>
                <w:color w:val="auto"/>
              </w:rPr>
            </w:pPr>
          </w:p>
        </w:tc>
        <w:tc>
          <w:tcPr>
            <w:tcW w:w="110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8"/>
              </w:rPr>
              <w:t>Underlying</w:t>
            </w:r>
          </w:p>
        </w:tc>
        <w:tc>
          <w:tcPr>
            <w:tcW w:w="128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5"/>
              </w:rPr>
              <w:t>Underlying</w:t>
            </w:r>
          </w:p>
        </w:tc>
        <w:tc>
          <w:tcPr>
            <w:tcW w:w="1080" w:type="dxa"/>
            <w:vAlign w:val="bottom"/>
            <w:tcBorders>
              <w:right w:val="single" w:sz="8" w:color="47829E"/>
            </w:tcBorders>
            <w:shd w:val="clear" w:color="auto" w:fill="47829E"/>
          </w:tcPr>
          <w:p>
            <w:pPr>
              <w:jc w:val="center"/>
              <w:ind w:left="32"/>
              <w:spacing w:after="0" w:line="149" w:lineRule="exact"/>
              <w:rPr>
                <w:sz w:val="20"/>
                <w:szCs w:val="20"/>
                <w:color w:val="auto"/>
              </w:rPr>
            </w:pPr>
            <w:r>
              <w:rPr>
                <w:rFonts w:ascii="Arial" w:cs="Arial" w:eastAsia="Arial" w:hAnsi="Arial"/>
                <w:sz w:val="14"/>
                <w:szCs w:val="14"/>
                <w:b w:val="1"/>
                <w:bCs w:val="1"/>
                <w:color w:val="FFFFFF"/>
                <w:w w:val="95"/>
              </w:rPr>
              <w:t>Underlying</w:t>
            </w:r>
          </w:p>
        </w:tc>
        <w:tc>
          <w:tcPr>
            <w:tcW w:w="920" w:type="dxa"/>
            <w:vAlign w:val="bottom"/>
            <w:tcBorders>
              <w:right w:val="single" w:sz="8" w:color="47829E"/>
            </w:tcBorders>
            <w:shd w:val="clear" w:color="auto" w:fill="47829E"/>
          </w:tcPr>
          <w:p>
            <w:pPr>
              <w:spacing w:after="0"/>
              <w:rPr>
                <w:sz w:val="12"/>
                <w:szCs w:val="12"/>
                <w:color w:val="auto"/>
              </w:rPr>
            </w:pPr>
          </w:p>
        </w:tc>
        <w:tc>
          <w:tcPr>
            <w:tcW w:w="960" w:type="dxa"/>
            <w:vAlign w:val="bottom"/>
            <w:tcBorders>
              <w:right w:val="single" w:sz="8" w:color="47829E"/>
            </w:tcBorders>
            <w:shd w:val="clear" w:color="auto" w:fill="47829E"/>
          </w:tcPr>
          <w:p>
            <w:pPr>
              <w:spacing w:after="0"/>
              <w:rPr>
                <w:sz w:val="12"/>
                <w:szCs w:val="12"/>
                <w:color w:val="auto"/>
              </w:rPr>
            </w:pPr>
          </w:p>
        </w:tc>
        <w:tc>
          <w:tcPr>
            <w:tcW w:w="1140" w:type="dxa"/>
            <w:vAlign w:val="bottom"/>
            <w:tcBorders>
              <w:right w:val="single" w:sz="8" w:color="47829E"/>
            </w:tcBorders>
            <w:shd w:val="clear" w:color="auto" w:fill="47829E"/>
          </w:tcPr>
          <w:p>
            <w:pPr>
              <w:jc w:val="center"/>
              <w:ind w:right="43"/>
              <w:spacing w:after="0" w:line="149" w:lineRule="exact"/>
              <w:rPr>
                <w:sz w:val="20"/>
                <w:szCs w:val="20"/>
                <w:color w:val="auto"/>
              </w:rPr>
            </w:pPr>
            <w:r>
              <w:rPr>
                <w:rFonts w:ascii="Arial" w:cs="Arial" w:eastAsia="Arial" w:hAnsi="Arial"/>
                <w:sz w:val="14"/>
                <w:szCs w:val="14"/>
                <w:b w:val="1"/>
                <w:bCs w:val="1"/>
                <w:color w:val="FFFFFF"/>
                <w:w w:val="99"/>
              </w:rPr>
              <w:t>Units of</w:t>
            </w:r>
          </w:p>
        </w:tc>
        <w:tc>
          <w:tcPr>
            <w:tcW w:w="112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5"/>
              </w:rPr>
              <w:t>Units of</w:t>
            </w:r>
          </w:p>
        </w:tc>
        <w:tc>
          <w:tcPr>
            <w:tcW w:w="118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7"/>
              </w:rPr>
              <w:t>or other Rights</w:t>
            </w:r>
          </w:p>
        </w:tc>
        <w:tc>
          <w:tcPr>
            <w:tcW w:w="1240" w:type="dxa"/>
            <w:vAlign w:val="bottom"/>
            <w:tcBorders>
              <w:right w:val="single" w:sz="8" w:color="47829E"/>
            </w:tcBorders>
            <w:shd w:val="clear" w:color="auto" w:fill="47829E"/>
          </w:tcPr>
          <w:p>
            <w:pPr>
              <w:jc w:val="center"/>
              <w:ind w:right="32"/>
              <w:spacing w:after="0" w:line="149" w:lineRule="exact"/>
              <w:rPr>
                <w:sz w:val="20"/>
                <w:szCs w:val="20"/>
                <w:color w:val="auto"/>
              </w:rPr>
            </w:pPr>
            <w:r>
              <w:rPr>
                <w:rFonts w:ascii="Arial" w:cs="Arial" w:eastAsia="Arial" w:hAnsi="Arial"/>
                <w:sz w:val="14"/>
                <w:szCs w:val="14"/>
                <w:b w:val="1"/>
                <w:bCs w:val="1"/>
                <w:color w:val="FFFFFF"/>
                <w:w w:val="99"/>
              </w:rPr>
              <w:t>or</w:t>
            </w:r>
          </w:p>
        </w:tc>
        <w:tc>
          <w:tcPr>
            <w:tcW w:w="0" w:type="dxa"/>
            <w:vAlign w:val="bottom"/>
          </w:tcPr>
          <w:p>
            <w:pPr>
              <w:spacing w:after="0"/>
              <w:rPr>
                <w:sz w:val="1"/>
                <w:szCs w:val="1"/>
                <w:color w:val="auto"/>
              </w:rPr>
            </w:pPr>
          </w:p>
        </w:tc>
      </w:tr>
      <w:tr>
        <w:trPr>
          <w:trHeight w:val="152"/>
        </w:trPr>
        <w:tc>
          <w:tcPr>
            <w:tcW w:w="1420" w:type="dxa"/>
            <w:vAlign w:val="bottom"/>
            <w:tcBorders>
              <w:left w:val="single" w:sz="8" w:color="47829E"/>
              <w:right w:val="single" w:sz="8" w:color="47829E"/>
            </w:tcBorders>
            <w:shd w:val="clear" w:color="auto" w:fill="47829E"/>
          </w:tcPr>
          <w:p>
            <w:pPr>
              <w:spacing w:after="0"/>
              <w:rPr>
                <w:sz w:val="13"/>
                <w:szCs w:val="13"/>
                <w:color w:val="auto"/>
              </w:rPr>
            </w:pPr>
          </w:p>
        </w:tc>
        <w:tc>
          <w:tcPr>
            <w:tcW w:w="1100" w:type="dxa"/>
            <w:vAlign w:val="bottom"/>
            <w:tcBorders>
              <w:right w:val="single" w:sz="8" w:color="47829E"/>
            </w:tcBorders>
            <w:shd w:val="clear" w:color="auto" w:fill="47829E"/>
          </w:tcPr>
          <w:p>
            <w:pPr>
              <w:jc w:val="center"/>
              <w:spacing w:after="0" w:line="152" w:lineRule="exact"/>
              <w:rPr>
                <w:sz w:val="20"/>
                <w:szCs w:val="20"/>
                <w:color w:val="auto"/>
              </w:rPr>
            </w:pPr>
            <w:r>
              <w:rPr>
                <w:rFonts w:ascii="Arial" w:cs="Arial" w:eastAsia="Arial" w:hAnsi="Arial"/>
                <w:sz w:val="14"/>
                <w:szCs w:val="14"/>
                <w:b w:val="1"/>
                <w:bCs w:val="1"/>
                <w:color w:val="FFFFFF"/>
                <w:w w:val="96"/>
              </w:rPr>
              <w:t>Unexercised</w:t>
            </w:r>
          </w:p>
        </w:tc>
        <w:tc>
          <w:tcPr>
            <w:tcW w:w="1280" w:type="dxa"/>
            <w:vAlign w:val="bottom"/>
            <w:tcBorders>
              <w:right w:val="single" w:sz="8" w:color="47829E"/>
            </w:tcBorders>
            <w:shd w:val="clear" w:color="auto" w:fill="47829E"/>
          </w:tcPr>
          <w:p>
            <w:pPr>
              <w:jc w:val="center"/>
              <w:spacing w:after="0" w:line="152" w:lineRule="exact"/>
              <w:rPr>
                <w:sz w:val="20"/>
                <w:szCs w:val="20"/>
                <w:color w:val="auto"/>
              </w:rPr>
            </w:pPr>
            <w:r>
              <w:rPr>
                <w:rFonts w:ascii="Arial" w:cs="Arial" w:eastAsia="Arial" w:hAnsi="Arial"/>
                <w:sz w:val="14"/>
                <w:szCs w:val="14"/>
                <w:b w:val="1"/>
                <w:bCs w:val="1"/>
                <w:color w:val="FFFFFF"/>
                <w:w w:val="96"/>
              </w:rPr>
              <w:t>Unexercised</w:t>
            </w:r>
          </w:p>
        </w:tc>
        <w:tc>
          <w:tcPr>
            <w:tcW w:w="1080" w:type="dxa"/>
            <w:vAlign w:val="bottom"/>
            <w:tcBorders>
              <w:right w:val="single" w:sz="8" w:color="47829E"/>
            </w:tcBorders>
            <w:shd w:val="clear" w:color="auto" w:fill="47829E"/>
          </w:tcPr>
          <w:p>
            <w:pPr>
              <w:jc w:val="center"/>
              <w:ind w:left="32"/>
              <w:spacing w:after="0" w:line="152" w:lineRule="exact"/>
              <w:rPr>
                <w:sz w:val="20"/>
                <w:szCs w:val="20"/>
                <w:color w:val="auto"/>
              </w:rPr>
            </w:pPr>
            <w:r>
              <w:rPr>
                <w:rFonts w:ascii="Arial" w:cs="Arial" w:eastAsia="Arial" w:hAnsi="Arial"/>
                <w:sz w:val="14"/>
                <w:szCs w:val="14"/>
                <w:b w:val="1"/>
                <w:bCs w:val="1"/>
                <w:color w:val="FFFFFF"/>
                <w:w w:val="98"/>
              </w:rPr>
              <w:t>Unexercised</w:t>
            </w:r>
          </w:p>
        </w:tc>
        <w:tc>
          <w:tcPr>
            <w:tcW w:w="920" w:type="dxa"/>
            <w:vAlign w:val="bottom"/>
            <w:tcBorders>
              <w:right w:val="single" w:sz="8" w:color="47829E"/>
            </w:tcBorders>
            <w:shd w:val="clear" w:color="auto" w:fill="47829E"/>
          </w:tcPr>
          <w:p>
            <w:pPr>
              <w:jc w:val="center"/>
              <w:spacing w:after="0" w:line="152" w:lineRule="exact"/>
              <w:rPr>
                <w:sz w:val="20"/>
                <w:szCs w:val="20"/>
                <w:color w:val="auto"/>
              </w:rPr>
            </w:pPr>
            <w:r>
              <w:rPr>
                <w:rFonts w:ascii="Arial" w:cs="Arial" w:eastAsia="Arial" w:hAnsi="Arial"/>
                <w:sz w:val="14"/>
                <w:szCs w:val="14"/>
                <w:b w:val="1"/>
                <w:bCs w:val="1"/>
                <w:color w:val="FFFFFF"/>
                <w:w w:val="93"/>
              </w:rPr>
              <w:t>Option</w:t>
            </w:r>
          </w:p>
        </w:tc>
        <w:tc>
          <w:tcPr>
            <w:tcW w:w="960" w:type="dxa"/>
            <w:vAlign w:val="bottom"/>
            <w:tcBorders>
              <w:right w:val="single" w:sz="8" w:color="47829E"/>
            </w:tcBorders>
            <w:shd w:val="clear" w:color="auto" w:fill="47829E"/>
          </w:tcPr>
          <w:p>
            <w:pPr>
              <w:ind w:left="260"/>
              <w:spacing w:after="0" w:line="152" w:lineRule="exact"/>
              <w:rPr>
                <w:sz w:val="20"/>
                <w:szCs w:val="20"/>
                <w:color w:val="auto"/>
              </w:rPr>
            </w:pPr>
            <w:r>
              <w:rPr>
                <w:rFonts w:ascii="Arial" w:cs="Arial" w:eastAsia="Arial" w:hAnsi="Arial"/>
                <w:sz w:val="14"/>
                <w:szCs w:val="14"/>
                <w:b w:val="1"/>
                <w:bCs w:val="1"/>
                <w:color w:val="FFFFFF"/>
              </w:rPr>
              <w:t>Option</w:t>
            </w:r>
          </w:p>
        </w:tc>
        <w:tc>
          <w:tcPr>
            <w:tcW w:w="1140" w:type="dxa"/>
            <w:vAlign w:val="bottom"/>
            <w:tcBorders>
              <w:right w:val="single" w:sz="8" w:color="47829E"/>
            </w:tcBorders>
            <w:shd w:val="clear" w:color="auto" w:fill="47829E"/>
          </w:tcPr>
          <w:p>
            <w:pPr>
              <w:jc w:val="center"/>
              <w:ind w:right="43"/>
              <w:spacing w:after="0" w:line="152" w:lineRule="exact"/>
              <w:rPr>
                <w:sz w:val="20"/>
                <w:szCs w:val="20"/>
                <w:color w:val="auto"/>
              </w:rPr>
            </w:pPr>
            <w:r>
              <w:rPr>
                <w:rFonts w:ascii="Arial" w:cs="Arial" w:eastAsia="Arial" w:hAnsi="Arial"/>
                <w:sz w:val="14"/>
                <w:szCs w:val="14"/>
                <w:b w:val="1"/>
                <w:bCs w:val="1"/>
                <w:color w:val="FFFFFF"/>
                <w:w w:val="94"/>
              </w:rPr>
              <w:t>Stock</w:t>
            </w:r>
          </w:p>
        </w:tc>
        <w:tc>
          <w:tcPr>
            <w:tcW w:w="1120" w:type="dxa"/>
            <w:vAlign w:val="bottom"/>
            <w:tcBorders>
              <w:right w:val="single" w:sz="8" w:color="47829E"/>
            </w:tcBorders>
            <w:shd w:val="clear" w:color="auto" w:fill="47829E"/>
          </w:tcPr>
          <w:p>
            <w:pPr>
              <w:jc w:val="center"/>
              <w:spacing w:after="0" w:line="152" w:lineRule="exact"/>
              <w:rPr>
                <w:sz w:val="20"/>
                <w:szCs w:val="20"/>
                <w:color w:val="auto"/>
              </w:rPr>
            </w:pPr>
            <w:r>
              <w:rPr>
                <w:rFonts w:ascii="Arial" w:cs="Arial" w:eastAsia="Arial" w:hAnsi="Arial"/>
                <w:sz w:val="14"/>
                <w:szCs w:val="14"/>
                <w:b w:val="1"/>
                <w:bCs w:val="1"/>
                <w:color w:val="FFFFFF"/>
                <w:w w:val="94"/>
              </w:rPr>
              <w:t>Stock</w:t>
            </w:r>
          </w:p>
        </w:tc>
        <w:tc>
          <w:tcPr>
            <w:tcW w:w="1180" w:type="dxa"/>
            <w:vAlign w:val="bottom"/>
            <w:tcBorders>
              <w:right w:val="single" w:sz="8" w:color="47829E"/>
            </w:tcBorders>
            <w:shd w:val="clear" w:color="auto" w:fill="47829E"/>
          </w:tcPr>
          <w:p>
            <w:pPr>
              <w:jc w:val="center"/>
              <w:spacing w:after="0" w:line="152" w:lineRule="exact"/>
              <w:rPr>
                <w:sz w:val="20"/>
                <w:szCs w:val="20"/>
                <w:color w:val="auto"/>
              </w:rPr>
            </w:pPr>
            <w:r>
              <w:rPr>
                <w:rFonts w:ascii="Arial" w:cs="Arial" w:eastAsia="Arial" w:hAnsi="Arial"/>
                <w:sz w:val="14"/>
                <w:szCs w:val="14"/>
                <w:b w:val="1"/>
                <w:bCs w:val="1"/>
                <w:color w:val="FFFFFF"/>
                <w:w w:val="98"/>
              </w:rPr>
              <w:t>That Have</w:t>
            </w:r>
          </w:p>
        </w:tc>
        <w:tc>
          <w:tcPr>
            <w:tcW w:w="1240" w:type="dxa"/>
            <w:vAlign w:val="bottom"/>
            <w:tcBorders>
              <w:right w:val="single" w:sz="8" w:color="47829E"/>
            </w:tcBorders>
            <w:shd w:val="clear" w:color="auto" w:fill="47829E"/>
          </w:tcPr>
          <w:p>
            <w:pPr>
              <w:jc w:val="center"/>
              <w:ind w:right="32"/>
              <w:spacing w:after="0" w:line="152" w:lineRule="exact"/>
              <w:rPr>
                <w:sz w:val="20"/>
                <w:szCs w:val="20"/>
                <w:color w:val="auto"/>
              </w:rPr>
            </w:pPr>
            <w:r>
              <w:rPr>
                <w:rFonts w:ascii="Arial" w:cs="Arial" w:eastAsia="Arial" w:hAnsi="Arial"/>
                <w:sz w:val="14"/>
                <w:szCs w:val="14"/>
                <w:b w:val="1"/>
                <w:bCs w:val="1"/>
                <w:color w:val="FFFFFF"/>
                <w:w w:val="96"/>
              </w:rPr>
              <w:t>Other Rights</w:t>
            </w:r>
          </w:p>
        </w:tc>
        <w:tc>
          <w:tcPr>
            <w:tcW w:w="0" w:type="dxa"/>
            <w:vAlign w:val="bottom"/>
          </w:tcPr>
          <w:p>
            <w:pPr>
              <w:spacing w:after="0"/>
              <w:rPr>
                <w:sz w:val="1"/>
                <w:szCs w:val="1"/>
                <w:color w:val="auto"/>
              </w:rPr>
            </w:pPr>
          </w:p>
        </w:tc>
      </w:tr>
      <w:tr>
        <w:trPr>
          <w:trHeight w:val="135"/>
        </w:trPr>
        <w:tc>
          <w:tcPr>
            <w:tcW w:w="1420" w:type="dxa"/>
            <w:vAlign w:val="bottom"/>
            <w:tcBorders>
              <w:left w:val="single" w:sz="8" w:color="47829E"/>
              <w:right w:val="single" w:sz="8" w:color="47829E"/>
            </w:tcBorders>
            <w:shd w:val="clear" w:color="auto" w:fill="47829E"/>
          </w:tcPr>
          <w:p>
            <w:pPr>
              <w:spacing w:after="0"/>
              <w:rPr>
                <w:sz w:val="11"/>
                <w:szCs w:val="11"/>
                <w:color w:val="auto"/>
              </w:rPr>
            </w:pPr>
          </w:p>
        </w:tc>
        <w:tc>
          <w:tcPr>
            <w:tcW w:w="11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4"/>
                <w:szCs w:val="14"/>
                <w:b w:val="1"/>
                <w:bCs w:val="1"/>
                <w:color w:val="FFFFFF"/>
                <w:w w:val="98"/>
              </w:rPr>
              <w:t>Options</w:t>
            </w:r>
          </w:p>
        </w:tc>
        <w:tc>
          <w:tcPr>
            <w:tcW w:w="128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4"/>
                <w:szCs w:val="14"/>
                <w:b w:val="1"/>
                <w:bCs w:val="1"/>
                <w:color w:val="FFFFFF"/>
                <w:w w:val="94"/>
              </w:rPr>
              <w:t>Options</w:t>
            </w:r>
          </w:p>
        </w:tc>
        <w:tc>
          <w:tcPr>
            <w:tcW w:w="1080" w:type="dxa"/>
            <w:vAlign w:val="bottom"/>
            <w:tcBorders>
              <w:right w:val="single" w:sz="8" w:color="47829E"/>
            </w:tcBorders>
            <w:shd w:val="clear" w:color="auto" w:fill="47829E"/>
          </w:tcPr>
          <w:p>
            <w:pPr>
              <w:jc w:val="center"/>
              <w:ind w:left="32"/>
              <w:spacing w:after="0" w:line="135" w:lineRule="exact"/>
              <w:rPr>
                <w:sz w:val="20"/>
                <w:szCs w:val="20"/>
                <w:color w:val="auto"/>
              </w:rPr>
            </w:pPr>
            <w:r>
              <w:rPr>
                <w:rFonts w:ascii="Arial" w:cs="Arial" w:eastAsia="Arial" w:hAnsi="Arial"/>
                <w:sz w:val="14"/>
                <w:szCs w:val="14"/>
                <w:b w:val="1"/>
                <w:bCs w:val="1"/>
                <w:color w:val="FFFFFF"/>
                <w:w w:val="95"/>
              </w:rPr>
              <w:t>Unearned</w:t>
            </w:r>
          </w:p>
        </w:tc>
        <w:tc>
          <w:tcPr>
            <w:tcW w:w="92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4"/>
                <w:szCs w:val="14"/>
                <w:b w:val="1"/>
                <w:bCs w:val="1"/>
                <w:color w:val="FFFFFF"/>
                <w:w w:val="93"/>
              </w:rPr>
              <w:t>Exercise</w:t>
            </w:r>
          </w:p>
        </w:tc>
        <w:tc>
          <w:tcPr>
            <w:tcW w:w="960" w:type="dxa"/>
            <w:vAlign w:val="bottom"/>
            <w:tcBorders>
              <w:right w:val="single" w:sz="8" w:color="47829E"/>
            </w:tcBorders>
            <w:shd w:val="clear" w:color="auto" w:fill="47829E"/>
          </w:tcPr>
          <w:p>
            <w:pPr>
              <w:spacing w:after="0"/>
              <w:rPr>
                <w:sz w:val="11"/>
                <w:szCs w:val="11"/>
                <w:color w:val="auto"/>
              </w:rPr>
            </w:pPr>
          </w:p>
        </w:tc>
        <w:tc>
          <w:tcPr>
            <w:tcW w:w="1140" w:type="dxa"/>
            <w:vAlign w:val="bottom"/>
            <w:tcBorders>
              <w:right w:val="single" w:sz="8" w:color="47829E"/>
            </w:tcBorders>
            <w:shd w:val="clear" w:color="auto" w:fill="47829E"/>
          </w:tcPr>
          <w:p>
            <w:pPr>
              <w:jc w:val="center"/>
              <w:ind w:right="43"/>
              <w:spacing w:after="0" w:line="135" w:lineRule="exact"/>
              <w:rPr>
                <w:sz w:val="20"/>
                <w:szCs w:val="20"/>
                <w:color w:val="auto"/>
              </w:rPr>
            </w:pPr>
            <w:r>
              <w:rPr>
                <w:rFonts w:ascii="Arial" w:cs="Arial" w:eastAsia="Arial" w:hAnsi="Arial"/>
                <w:sz w:val="14"/>
                <w:szCs w:val="14"/>
                <w:b w:val="1"/>
                <w:bCs w:val="1"/>
                <w:color w:val="FFFFFF"/>
                <w:w w:val="95"/>
              </w:rPr>
              <w:t>That Have</w:t>
            </w:r>
          </w:p>
        </w:tc>
        <w:tc>
          <w:tcPr>
            <w:tcW w:w="112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4"/>
                <w:szCs w:val="14"/>
                <w:b w:val="1"/>
                <w:bCs w:val="1"/>
                <w:color w:val="FFFFFF"/>
                <w:w w:val="95"/>
              </w:rPr>
              <w:t>That Have</w:t>
            </w:r>
          </w:p>
        </w:tc>
        <w:tc>
          <w:tcPr>
            <w:tcW w:w="1180" w:type="dxa"/>
            <w:vAlign w:val="bottom"/>
            <w:tcBorders>
              <w:right w:val="single" w:sz="8" w:color="47829E"/>
            </w:tcBorders>
            <w:vMerge w:val="restart"/>
            <w:shd w:val="clear" w:color="auto" w:fill="47829E"/>
          </w:tcPr>
          <w:p>
            <w:pPr>
              <w:jc w:val="center"/>
              <w:spacing w:after="0"/>
              <w:rPr>
                <w:sz w:val="20"/>
                <w:szCs w:val="20"/>
                <w:color w:val="auto"/>
              </w:rPr>
            </w:pPr>
            <w:r>
              <w:rPr>
                <w:rFonts w:ascii="Arial" w:cs="Arial" w:eastAsia="Arial" w:hAnsi="Arial"/>
                <w:sz w:val="14"/>
                <w:szCs w:val="14"/>
                <w:b w:val="1"/>
                <w:bCs w:val="1"/>
                <w:color w:val="FFFFFF"/>
                <w:w w:val="93"/>
              </w:rPr>
              <w:t>Not Vested</w:t>
            </w:r>
            <w:r>
              <w:rPr>
                <w:rFonts w:ascii="Arial" w:cs="Arial" w:eastAsia="Arial" w:hAnsi="Arial"/>
                <w:sz w:val="22"/>
                <w:szCs w:val="22"/>
                <w:b w:val="1"/>
                <w:bCs w:val="1"/>
                <w:color w:val="FFFFFF"/>
                <w:w w:val="93"/>
                <w:vertAlign w:val="superscript"/>
              </w:rPr>
              <w:t>2</w:t>
            </w:r>
          </w:p>
        </w:tc>
        <w:tc>
          <w:tcPr>
            <w:tcW w:w="1240" w:type="dxa"/>
            <w:vAlign w:val="bottom"/>
            <w:tcBorders>
              <w:right w:val="single" w:sz="8" w:color="47829E"/>
            </w:tcBorders>
            <w:shd w:val="clear" w:color="auto" w:fill="47829E"/>
          </w:tcPr>
          <w:p>
            <w:pPr>
              <w:jc w:val="center"/>
              <w:ind w:right="52"/>
              <w:spacing w:after="0" w:line="135" w:lineRule="exact"/>
              <w:rPr>
                <w:sz w:val="20"/>
                <w:szCs w:val="20"/>
                <w:color w:val="auto"/>
              </w:rPr>
            </w:pPr>
            <w:r>
              <w:rPr>
                <w:rFonts w:ascii="Arial" w:cs="Arial" w:eastAsia="Arial" w:hAnsi="Arial"/>
                <w:sz w:val="14"/>
                <w:szCs w:val="14"/>
                <w:b w:val="1"/>
                <w:bCs w:val="1"/>
                <w:color w:val="FFFFFF"/>
                <w:w w:val="95"/>
              </w:rPr>
              <w:t>That Have</w:t>
            </w:r>
          </w:p>
        </w:tc>
        <w:tc>
          <w:tcPr>
            <w:tcW w:w="0" w:type="dxa"/>
            <w:vAlign w:val="bottom"/>
          </w:tcPr>
          <w:p>
            <w:pPr>
              <w:spacing w:after="0"/>
              <w:rPr>
                <w:sz w:val="1"/>
                <w:szCs w:val="1"/>
                <w:color w:val="auto"/>
              </w:rPr>
            </w:pPr>
          </w:p>
        </w:tc>
      </w:tr>
      <w:tr>
        <w:trPr>
          <w:trHeight w:val="162"/>
        </w:trPr>
        <w:tc>
          <w:tcPr>
            <w:tcW w:w="1420" w:type="dxa"/>
            <w:vAlign w:val="bottom"/>
            <w:tcBorders>
              <w:left w:val="single" w:sz="8" w:color="47829E"/>
              <w:right w:val="single" w:sz="8" w:color="47829E"/>
            </w:tcBorders>
            <w:shd w:val="clear" w:color="auto" w:fill="47829E"/>
          </w:tcPr>
          <w:p>
            <w:pPr>
              <w:spacing w:after="0"/>
              <w:rPr>
                <w:sz w:val="14"/>
                <w:szCs w:val="14"/>
                <w:color w:val="auto"/>
              </w:rPr>
            </w:pPr>
          </w:p>
        </w:tc>
        <w:tc>
          <w:tcPr>
            <w:tcW w:w="11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93"/>
              </w:rPr>
              <w:t>(#)</w:t>
            </w:r>
          </w:p>
        </w:tc>
        <w:tc>
          <w:tcPr>
            <w:tcW w:w="12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right w:val="single" w:sz="8" w:color="47829E"/>
            </w:tcBorders>
            <w:shd w:val="clear" w:color="auto" w:fill="47829E"/>
          </w:tcPr>
          <w:p>
            <w:pPr>
              <w:jc w:val="center"/>
              <w:ind w:left="32"/>
              <w:spacing w:after="0"/>
              <w:rPr>
                <w:sz w:val="20"/>
                <w:szCs w:val="20"/>
                <w:color w:val="auto"/>
              </w:rPr>
            </w:pPr>
            <w:r>
              <w:rPr>
                <w:rFonts w:ascii="Arial" w:cs="Arial" w:eastAsia="Arial" w:hAnsi="Arial"/>
                <w:sz w:val="14"/>
                <w:szCs w:val="14"/>
                <w:b w:val="1"/>
                <w:bCs w:val="1"/>
                <w:color w:val="FFFFFF"/>
                <w:w w:val="94"/>
              </w:rPr>
              <w:t>Options</w:t>
            </w:r>
          </w:p>
        </w:tc>
        <w:tc>
          <w:tcPr>
            <w:tcW w:w="9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99"/>
              </w:rPr>
              <w:t>Price</w:t>
            </w:r>
          </w:p>
        </w:tc>
        <w:tc>
          <w:tcPr>
            <w:tcW w:w="960" w:type="dxa"/>
            <w:vAlign w:val="bottom"/>
            <w:tcBorders>
              <w:right w:val="single" w:sz="8" w:color="47829E"/>
            </w:tcBorders>
            <w:shd w:val="clear" w:color="auto" w:fill="47829E"/>
          </w:tcPr>
          <w:p>
            <w:pPr>
              <w:ind w:left="120"/>
              <w:spacing w:after="0"/>
              <w:rPr>
                <w:sz w:val="20"/>
                <w:szCs w:val="20"/>
                <w:color w:val="auto"/>
              </w:rPr>
            </w:pPr>
            <w:r>
              <w:rPr>
                <w:rFonts w:ascii="Arial" w:cs="Arial" w:eastAsia="Arial" w:hAnsi="Arial"/>
                <w:sz w:val="14"/>
                <w:szCs w:val="14"/>
                <w:b w:val="1"/>
                <w:bCs w:val="1"/>
                <w:color w:val="FFFFFF"/>
              </w:rPr>
              <w:t>Expiration</w:t>
            </w:r>
          </w:p>
        </w:tc>
        <w:tc>
          <w:tcPr>
            <w:tcW w:w="1140" w:type="dxa"/>
            <w:vAlign w:val="bottom"/>
            <w:tcBorders>
              <w:right w:val="single" w:sz="8" w:color="47829E"/>
            </w:tcBorders>
            <w:shd w:val="clear" w:color="auto" w:fill="47829E"/>
          </w:tcPr>
          <w:p>
            <w:pPr>
              <w:jc w:val="center"/>
              <w:ind w:right="43"/>
              <w:spacing w:after="0"/>
              <w:rPr>
                <w:sz w:val="20"/>
                <w:szCs w:val="20"/>
                <w:color w:val="auto"/>
              </w:rPr>
            </w:pPr>
            <w:r>
              <w:rPr>
                <w:rFonts w:ascii="Arial" w:cs="Arial" w:eastAsia="Arial" w:hAnsi="Arial"/>
                <w:sz w:val="14"/>
                <w:szCs w:val="14"/>
                <w:b w:val="1"/>
                <w:bCs w:val="1"/>
                <w:color w:val="FFFFFF"/>
                <w:w w:val="92"/>
              </w:rPr>
              <w:t>Not Vested</w:t>
            </w:r>
          </w:p>
        </w:tc>
        <w:tc>
          <w:tcPr>
            <w:tcW w:w="1120" w:type="dxa"/>
            <w:vAlign w:val="bottom"/>
            <w:tcBorders>
              <w:right w:val="single" w:sz="8" w:color="47829E"/>
            </w:tcBorders>
            <w:shd w:val="clear" w:color="auto" w:fill="47829E"/>
          </w:tcPr>
          <w:p>
            <w:pPr>
              <w:jc w:val="center"/>
              <w:spacing w:after="0" w:line="162" w:lineRule="exact"/>
              <w:rPr>
                <w:sz w:val="20"/>
                <w:szCs w:val="20"/>
                <w:color w:val="auto"/>
              </w:rPr>
            </w:pPr>
            <w:r>
              <w:rPr>
                <w:rFonts w:ascii="Arial" w:cs="Arial" w:eastAsia="Arial" w:hAnsi="Arial"/>
                <w:sz w:val="12"/>
                <w:szCs w:val="12"/>
                <w:b w:val="1"/>
                <w:bCs w:val="1"/>
                <w:color w:val="FFFFFF"/>
              </w:rPr>
              <w:t>Not Vested</w:t>
            </w:r>
            <w:r>
              <w:rPr>
                <w:rFonts w:ascii="Arial" w:cs="Arial" w:eastAsia="Arial" w:hAnsi="Arial"/>
                <w:sz w:val="18"/>
                <w:szCs w:val="18"/>
                <w:b w:val="1"/>
                <w:bCs w:val="1"/>
                <w:color w:val="FFFFFF"/>
                <w:vertAlign w:val="superscript"/>
              </w:rPr>
              <w:t>1</w:t>
            </w:r>
          </w:p>
        </w:tc>
        <w:tc>
          <w:tcPr>
            <w:tcW w:w="1180" w:type="dxa"/>
            <w:vAlign w:val="bottom"/>
            <w:tcBorders>
              <w:right w:val="single" w:sz="8" w:color="47829E"/>
            </w:tcBorders>
            <w:vMerge w:val="continue"/>
            <w:shd w:val="clear" w:color="auto" w:fill="47829E"/>
          </w:tcPr>
          <w:p>
            <w:pPr>
              <w:spacing w:after="0"/>
              <w:rPr>
                <w:sz w:val="14"/>
                <w:szCs w:val="14"/>
                <w:color w:val="auto"/>
              </w:rPr>
            </w:pPr>
          </w:p>
        </w:tc>
        <w:tc>
          <w:tcPr>
            <w:tcW w:w="1240" w:type="dxa"/>
            <w:vAlign w:val="bottom"/>
            <w:tcBorders>
              <w:right w:val="single" w:sz="8" w:color="47829E"/>
            </w:tcBorders>
            <w:shd w:val="clear" w:color="auto" w:fill="47829E"/>
          </w:tcPr>
          <w:p>
            <w:pPr>
              <w:jc w:val="center"/>
              <w:ind w:right="32"/>
              <w:spacing w:after="0"/>
              <w:rPr>
                <w:sz w:val="20"/>
                <w:szCs w:val="20"/>
                <w:color w:val="auto"/>
              </w:rPr>
            </w:pPr>
            <w:r>
              <w:rPr>
                <w:rFonts w:ascii="Arial" w:cs="Arial" w:eastAsia="Arial" w:hAnsi="Arial"/>
                <w:sz w:val="14"/>
                <w:szCs w:val="14"/>
                <w:b w:val="1"/>
                <w:bCs w:val="1"/>
                <w:color w:val="FFFFFF"/>
                <w:w w:val="95"/>
              </w:rPr>
              <w:t>Not Vested</w:t>
            </w:r>
          </w:p>
        </w:tc>
        <w:tc>
          <w:tcPr>
            <w:tcW w:w="0" w:type="dxa"/>
            <w:vAlign w:val="bottom"/>
          </w:tcPr>
          <w:p>
            <w:pPr>
              <w:spacing w:after="0"/>
              <w:rPr>
                <w:sz w:val="1"/>
                <w:szCs w:val="1"/>
                <w:color w:val="auto"/>
              </w:rPr>
            </w:pPr>
          </w:p>
        </w:tc>
      </w:tr>
      <w:tr>
        <w:trPr>
          <w:trHeight w:val="159"/>
        </w:trPr>
        <w:tc>
          <w:tcPr>
            <w:tcW w:w="1420" w:type="dxa"/>
            <w:vAlign w:val="bottom"/>
            <w:tcBorders>
              <w:left w:val="single" w:sz="8" w:color="47829E"/>
              <w:right w:val="single" w:sz="8" w:color="47829E"/>
            </w:tcBorders>
            <w:shd w:val="clear" w:color="auto" w:fill="47829E"/>
          </w:tcPr>
          <w:p>
            <w:pPr>
              <w:ind w:left="120"/>
              <w:spacing w:after="0" w:line="159" w:lineRule="exact"/>
              <w:rPr>
                <w:sz w:val="20"/>
                <w:szCs w:val="20"/>
                <w:color w:val="auto"/>
              </w:rPr>
            </w:pPr>
            <w:r>
              <w:rPr>
                <w:rFonts w:ascii="Arial" w:cs="Arial" w:eastAsia="Arial" w:hAnsi="Arial"/>
                <w:sz w:val="14"/>
                <w:szCs w:val="14"/>
                <w:b w:val="1"/>
                <w:bCs w:val="1"/>
                <w:color w:val="FFFFFF"/>
              </w:rPr>
              <w:t>Name</w:t>
            </w:r>
          </w:p>
        </w:tc>
        <w:tc>
          <w:tcPr>
            <w:tcW w:w="110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4"/>
                <w:szCs w:val="14"/>
                <w:b w:val="1"/>
                <w:bCs w:val="1"/>
                <w:color w:val="FFFFFF"/>
                <w:w w:val="97"/>
              </w:rPr>
              <w:t>Exercisable</w:t>
            </w:r>
          </w:p>
        </w:tc>
        <w:tc>
          <w:tcPr>
            <w:tcW w:w="128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4"/>
                <w:szCs w:val="14"/>
                <w:b w:val="1"/>
                <w:bCs w:val="1"/>
                <w:color w:val="FFFFFF"/>
                <w:w w:val="94"/>
              </w:rPr>
              <w:t>Unexercisable</w:t>
            </w:r>
          </w:p>
        </w:tc>
        <w:tc>
          <w:tcPr>
            <w:tcW w:w="1080" w:type="dxa"/>
            <w:vAlign w:val="bottom"/>
            <w:tcBorders>
              <w:right w:val="single" w:sz="8" w:color="47829E"/>
            </w:tcBorders>
            <w:shd w:val="clear" w:color="auto" w:fill="47829E"/>
          </w:tcPr>
          <w:p>
            <w:pPr>
              <w:jc w:val="center"/>
              <w:ind w:left="32"/>
              <w:spacing w:after="0" w:line="159" w:lineRule="exact"/>
              <w:rPr>
                <w:sz w:val="20"/>
                <w:szCs w:val="20"/>
                <w:color w:val="auto"/>
              </w:rPr>
            </w:pPr>
            <w:r>
              <w:rPr>
                <w:rFonts w:ascii="Arial" w:cs="Arial" w:eastAsia="Arial" w:hAnsi="Arial"/>
                <w:sz w:val="14"/>
                <w:szCs w:val="14"/>
                <w:b w:val="1"/>
                <w:bCs w:val="1"/>
                <w:color w:val="FFFFFF"/>
              </w:rPr>
              <w:t>(#)</w:t>
            </w:r>
          </w:p>
        </w:tc>
        <w:tc>
          <w:tcPr>
            <w:tcW w:w="92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4"/>
                <w:szCs w:val="14"/>
                <w:b w:val="1"/>
                <w:bCs w:val="1"/>
                <w:color w:val="FFFFFF"/>
              </w:rPr>
              <w:t>($)</w:t>
            </w:r>
          </w:p>
        </w:tc>
        <w:tc>
          <w:tcPr>
            <w:tcW w:w="960" w:type="dxa"/>
            <w:vAlign w:val="bottom"/>
            <w:tcBorders>
              <w:right w:val="single" w:sz="8" w:color="47829E"/>
            </w:tcBorders>
            <w:shd w:val="clear" w:color="auto" w:fill="47829E"/>
          </w:tcPr>
          <w:p>
            <w:pPr>
              <w:ind w:left="340"/>
              <w:spacing w:after="0" w:line="159" w:lineRule="exact"/>
              <w:rPr>
                <w:sz w:val="20"/>
                <w:szCs w:val="20"/>
                <w:color w:val="auto"/>
              </w:rPr>
            </w:pPr>
            <w:r>
              <w:rPr>
                <w:rFonts w:ascii="Arial" w:cs="Arial" w:eastAsia="Arial" w:hAnsi="Arial"/>
                <w:sz w:val="14"/>
                <w:szCs w:val="14"/>
                <w:b w:val="1"/>
                <w:bCs w:val="1"/>
                <w:color w:val="FFFFFF"/>
              </w:rPr>
              <w:t>Date</w:t>
            </w:r>
          </w:p>
        </w:tc>
        <w:tc>
          <w:tcPr>
            <w:tcW w:w="1140" w:type="dxa"/>
            <w:vAlign w:val="bottom"/>
            <w:tcBorders>
              <w:right w:val="single" w:sz="8" w:color="47829E"/>
            </w:tcBorders>
            <w:shd w:val="clear" w:color="auto" w:fill="47829E"/>
          </w:tcPr>
          <w:p>
            <w:pPr>
              <w:jc w:val="center"/>
              <w:ind w:right="43"/>
              <w:spacing w:after="0" w:line="159" w:lineRule="exact"/>
              <w:rPr>
                <w:sz w:val="20"/>
                <w:szCs w:val="20"/>
                <w:color w:val="auto"/>
              </w:rPr>
            </w:pPr>
            <w:r>
              <w:rPr>
                <w:rFonts w:ascii="Arial" w:cs="Arial" w:eastAsia="Arial" w:hAnsi="Arial"/>
                <w:sz w:val="14"/>
                <w:szCs w:val="14"/>
                <w:b w:val="1"/>
                <w:bCs w:val="1"/>
                <w:color w:val="FFFFFF"/>
                <w:w w:val="93"/>
              </w:rPr>
              <w:t>(#)</w:t>
            </w:r>
          </w:p>
        </w:tc>
        <w:tc>
          <w:tcPr>
            <w:tcW w:w="112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4"/>
                <w:szCs w:val="14"/>
                <w:b w:val="1"/>
                <w:bCs w:val="1"/>
                <w:color w:val="FFFFFF"/>
                <w:w w:val="93"/>
              </w:rPr>
              <w:t>($)</w:t>
            </w:r>
          </w:p>
        </w:tc>
        <w:tc>
          <w:tcPr>
            <w:tcW w:w="118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4"/>
                <w:szCs w:val="14"/>
                <w:b w:val="1"/>
                <w:bCs w:val="1"/>
                <w:color w:val="FFFFFF"/>
              </w:rPr>
              <w:t>(#)</w:t>
            </w:r>
          </w:p>
        </w:tc>
        <w:tc>
          <w:tcPr>
            <w:tcW w:w="1240" w:type="dxa"/>
            <w:vAlign w:val="bottom"/>
            <w:tcBorders>
              <w:right w:val="single" w:sz="8" w:color="47829E"/>
            </w:tcBorders>
            <w:shd w:val="clear" w:color="auto" w:fill="47829E"/>
          </w:tcPr>
          <w:p>
            <w:pPr>
              <w:jc w:val="center"/>
              <w:ind w:right="52"/>
              <w:spacing w:after="0" w:line="159" w:lineRule="exact"/>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165"/>
        </w:trPr>
        <w:tc>
          <w:tcPr>
            <w:tcW w:w="1420" w:type="dxa"/>
            <w:vAlign w:val="bottom"/>
            <w:tcBorders>
              <w:left w:val="single" w:sz="8" w:color="47829E"/>
              <w:right w:val="single" w:sz="8" w:color="47829E"/>
            </w:tcBorders>
            <w:shd w:val="clear" w:color="auto" w:fill="47829E"/>
          </w:tcPr>
          <w:p>
            <w:pPr>
              <w:ind w:left="120"/>
              <w:spacing w:after="0"/>
              <w:rPr>
                <w:sz w:val="20"/>
                <w:szCs w:val="20"/>
                <w:color w:val="auto"/>
              </w:rPr>
            </w:pPr>
            <w:r>
              <w:rPr>
                <w:rFonts w:ascii="Arial" w:cs="Arial" w:eastAsia="Arial" w:hAnsi="Arial"/>
                <w:sz w:val="14"/>
                <w:szCs w:val="14"/>
                <w:b w:val="1"/>
                <w:bCs w:val="1"/>
                <w:color w:val="FFFFFF"/>
              </w:rPr>
              <w:t>(a)</w:t>
            </w:r>
          </w:p>
        </w:tc>
        <w:tc>
          <w:tcPr>
            <w:tcW w:w="11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89"/>
              </w:rPr>
              <w:t>(b)</w:t>
            </w:r>
          </w:p>
        </w:tc>
        <w:tc>
          <w:tcPr>
            <w:tcW w:w="12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rPr>
              <w:t>(c)</w:t>
            </w:r>
          </w:p>
        </w:tc>
        <w:tc>
          <w:tcPr>
            <w:tcW w:w="1080" w:type="dxa"/>
            <w:vAlign w:val="bottom"/>
            <w:tcBorders>
              <w:right w:val="single" w:sz="8" w:color="47829E"/>
            </w:tcBorders>
            <w:shd w:val="clear" w:color="auto" w:fill="47829E"/>
          </w:tcPr>
          <w:p>
            <w:pPr>
              <w:jc w:val="center"/>
              <w:ind w:left="32"/>
              <w:spacing w:after="0"/>
              <w:rPr>
                <w:sz w:val="20"/>
                <w:szCs w:val="20"/>
                <w:color w:val="auto"/>
              </w:rPr>
            </w:pPr>
            <w:r>
              <w:rPr>
                <w:rFonts w:ascii="Arial" w:cs="Arial" w:eastAsia="Arial" w:hAnsi="Arial"/>
                <w:sz w:val="14"/>
                <w:szCs w:val="14"/>
                <w:b w:val="1"/>
                <w:bCs w:val="1"/>
                <w:color w:val="FFFFFF"/>
              </w:rPr>
              <w:t>(d)</w:t>
            </w:r>
          </w:p>
        </w:tc>
        <w:tc>
          <w:tcPr>
            <w:tcW w:w="9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rPr>
              <w:t>(e)</w:t>
            </w:r>
          </w:p>
        </w:tc>
        <w:tc>
          <w:tcPr>
            <w:tcW w:w="960" w:type="dxa"/>
            <w:vAlign w:val="bottom"/>
            <w:tcBorders>
              <w:right w:val="single" w:sz="8" w:color="47829E"/>
            </w:tcBorders>
            <w:shd w:val="clear" w:color="auto" w:fill="47829E"/>
          </w:tcPr>
          <w:p>
            <w:pPr>
              <w:ind w:left="420"/>
              <w:spacing w:after="0"/>
              <w:rPr>
                <w:sz w:val="20"/>
                <w:szCs w:val="20"/>
                <w:color w:val="auto"/>
              </w:rPr>
            </w:pPr>
            <w:r>
              <w:rPr>
                <w:rFonts w:ascii="Arial" w:cs="Arial" w:eastAsia="Arial" w:hAnsi="Arial"/>
                <w:sz w:val="14"/>
                <w:szCs w:val="14"/>
                <w:b w:val="1"/>
                <w:bCs w:val="1"/>
                <w:color w:val="FFFFFF"/>
              </w:rPr>
              <w:t>(f)</w:t>
            </w:r>
          </w:p>
        </w:tc>
        <w:tc>
          <w:tcPr>
            <w:tcW w:w="1140" w:type="dxa"/>
            <w:vAlign w:val="bottom"/>
            <w:tcBorders>
              <w:right w:val="single" w:sz="8" w:color="47829E"/>
            </w:tcBorders>
            <w:shd w:val="clear" w:color="auto" w:fill="47829E"/>
          </w:tcPr>
          <w:p>
            <w:pPr>
              <w:jc w:val="center"/>
              <w:ind w:right="43"/>
              <w:spacing w:after="0"/>
              <w:rPr>
                <w:sz w:val="20"/>
                <w:szCs w:val="20"/>
                <w:color w:val="auto"/>
              </w:rPr>
            </w:pPr>
            <w:r>
              <w:rPr>
                <w:rFonts w:ascii="Arial" w:cs="Arial" w:eastAsia="Arial" w:hAnsi="Arial"/>
                <w:sz w:val="14"/>
                <w:szCs w:val="14"/>
                <w:b w:val="1"/>
                <w:bCs w:val="1"/>
                <w:color w:val="FFFFFF"/>
                <w:w w:val="89"/>
              </w:rPr>
              <w:t>(g)</w:t>
            </w:r>
          </w:p>
        </w:tc>
        <w:tc>
          <w:tcPr>
            <w:tcW w:w="11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89"/>
              </w:rPr>
              <w:t>(h)</w:t>
            </w:r>
          </w:p>
        </w:tc>
        <w:tc>
          <w:tcPr>
            <w:tcW w:w="11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rPr>
              <w:t>(i)</w:t>
            </w:r>
          </w:p>
        </w:tc>
        <w:tc>
          <w:tcPr>
            <w:tcW w:w="1240" w:type="dxa"/>
            <w:vAlign w:val="bottom"/>
            <w:tcBorders>
              <w:right w:val="single" w:sz="8" w:color="47829E"/>
            </w:tcBorders>
            <w:shd w:val="clear" w:color="auto" w:fill="47829E"/>
          </w:tcPr>
          <w:p>
            <w:pPr>
              <w:jc w:val="center"/>
              <w:ind w:right="52"/>
              <w:spacing w:after="0"/>
              <w:rPr>
                <w:sz w:val="20"/>
                <w:szCs w:val="20"/>
                <w:color w:val="auto"/>
              </w:rPr>
            </w:pPr>
            <w:r>
              <w:rPr>
                <w:rFonts w:ascii="Arial" w:cs="Arial" w:eastAsia="Arial" w:hAnsi="Arial"/>
                <w:sz w:val="14"/>
                <w:szCs w:val="14"/>
                <w:b w:val="1"/>
                <w:bCs w:val="1"/>
                <w:color w:val="FFFFFF"/>
                <w:w w:val="90"/>
              </w:rPr>
              <w:t>(j)</w:t>
            </w:r>
          </w:p>
        </w:tc>
        <w:tc>
          <w:tcPr>
            <w:tcW w:w="0" w:type="dxa"/>
            <w:vAlign w:val="bottom"/>
          </w:tcPr>
          <w:p>
            <w:pPr>
              <w:spacing w:after="0"/>
              <w:rPr>
                <w:sz w:val="1"/>
                <w:szCs w:val="1"/>
                <w:color w:val="auto"/>
              </w:rPr>
            </w:pPr>
          </w:p>
        </w:tc>
      </w:tr>
      <w:tr>
        <w:trPr>
          <w:trHeight w:val="122"/>
        </w:trPr>
        <w:tc>
          <w:tcPr>
            <w:tcW w:w="1420" w:type="dxa"/>
            <w:vAlign w:val="bottom"/>
            <w:tcBorders>
              <w:left w:val="single" w:sz="8" w:color="47829E"/>
              <w:right w:val="single" w:sz="8" w:color="47829E"/>
            </w:tcBorders>
          </w:tcPr>
          <w:p>
            <w:pPr>
              <w:ind w:left="120"/>
              <w:spacing w:after="0" w:line="122" w:lineRule="exact"/>
              <w:rPr>
                <w:sz w:val="20"/>
                <w:szCs w:val="20"/>
                <w:color w:val="auto"/>
              </w:rPr>
            </w:pPr>
            <w:r>
              <w:rPr>
                <w:rFonts w:ascii="Arial" w:cs="Arial" w:eastAsia="Arial" w:hAnsi="Arial"/>
                <w:sz w:val="14"/>
                <w:szCs w:val="14"/>
                <w:b w:val="1"/>
                <w:bCs w:val="1"/>
                <w:color w:val="auto"/>
              </w:rPr>
              <w:t>C. Howard Nye</w:t>
            </w:r>
          </w:p>
        </w:tc>
        <w:tc>
          <w:tcPr>
            <w:tcW w:w="1100" w:type="dxa"/>
            <w:vAlign w:val="bottom"/>
            <w:tcBorders>
              <w:right w:val="single" w:sz="8" w:color="47829E"/>
            </w:tcBorders>
          </w:tcPr>
          <w:p>
            <w:pPr>
              <w:jc w:val="right"/>
              <w:ind w:right="32"/>
              <w:spacing w:after="0" w:line="122" w:lineRule="exact"/>
              <w:rPr>
                <w:sz w:val="20"/>
                <w:szCs w:val="20"/>
                <w:color w:val="auto"/>
              </w:rPr>
            </w:pPr>
            <w:r>
              <w:rPr>
                <w:rFonts w:ascii="Arial" w:cs="Arial" w:eastAsia="Arial" w:hAnsi="Arial"/>
                <w:sz w:val="14"/>
                <w:szCs w:val="14"/>
                <w:color w:val="auto"/>
              </w:rPr>
              <w:t>13,165</w:t>
            </w:r>
          </w:p>
        </w:tc>
        <w:tc>
          <w:tcPr>
            <w:tcW w:w="1280" w:type="dxa"/>
            <w:vAlign w:val="bottom"/>
            <w:tcBorders>
              <w:right w:val="single" w:sz="8" w:color="47829E"/>
            </w:tcBorders>
          </w:tcPr>
          <w:p>
            <w:pPr>
              <w:jc w:val="right"/>
              <w:ind w:right="57"/>
              <w:spacing w:after="0" w:line="122" w:lineRule="exact"/>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tcPr>
          <w:p>
            <w:pPr>
              <w:spacing w:after="0"/>
              <w:rPr>
                <w:sz w:val="10"/>
                <w:szCs w:val="10"/>
                <w:color w:val="auto"/>
              </w:rPr>
            </w:pPr>
          </w:p>
        </w:tc>
        <w:tc>
          <w:tcPr>
            <w:tcW w:w="920" w:type="dxa"/>
            <w:vAlign w:val="bottom"/>
            <w:tcBorders>
              <w:right w:val="single" w:sz="8" w:color="47829E"/>
            </w:tcBorders>
          </w:tcPr>
          <w:p>
            <w:pPr>
              <w:jc w:val="right"/>
              <w:ind w:right="32"/>
              <w:spacing w:after="0" w:line="122" w:lineRule="exact"/>
              <w:rPr>
                <w:sz w:val="20"/>
                <w:szCs w:val="20"/>
                <w:color w:val="auto"/>
              </w:rPr>
            </w:pPr>
            <w:r>
              <w:rPr>
                <w:rFonts w:ascii="Arial" w:cs="Arial" w:eastAsia="Arial" w:hAnsi="Arial"/>
                <w:sz w:val="14"/>
                <w:szCs w:val="14"/>
                <w:color w:val="auto"/>
              </w:rPr>
              <w:t>151.92</w:t>
            </w:r>
          </w:p>
        </w:tc>
        <w:tc>
          <w:tcPr>
            <w:tcW w:w="960" w:type="dxa"/>
            <w:vAlign w:val="bottom"/>
            <w:tcBorders>
              <w:right w:val="single" w:sz="8" w:color="47829E"/>
            </w:tcBorders>
          </w:tcPr>
          <w:p>
            <w:pPr>
              <w:ind w:left="260"/>
              <w:spacing w:after="0" w:line="122" w:lineRule="exact"/>
              <w:rPr>
                <w:sz w:val="20"/>
                <w:szCs w:val="20"/>
                <w:color w:val="auto"/>
              </w:rPr>
            </w:pPr>
            <w:r>
              <w:rPr>
                <w:rFonts w:ascii="Arial" w:cs="Arial" w:eastAsia="Arial" w:hAnsi="Arial"/>
                <w:sz w:val="14"/>
                <w:szCs w:val="14"/>
                <w:color w:val="auto"/>
              </w:rPr>
              <w:t>5/22/2015</w:t>
            </w:r>
          </w:p>
        </w:tc>
        <w:tc>
          <w:tcPr>
            <w:tcW w:w="1140" w:type="dxa"/>
            <w:vAlign w:val="bottom"/>
            <w:tcBorders>
              <w:right w:val="single" w:sz="8" w:color="47829E"/>
            </w:tcBorders>
          </w:tcPr>
          <w:p>
            <w:pPr>
              <w:ind w:left="600"/>
              <w:spacing w:after="0" w:line="122" w:lineRule="exact"/>
              <w:rPr>
                <w:sz w:val="20"/>
                <w:szCs w:val="20"/>
                <w:color w:val="auto"/>
              </w:rPr>
            </w:pPr>
            <w:r>
              <w:rPr>
                <w:rFonts w:ascii="Arial" w:cs="Arial" w:eastAsia="Arial" w:hAnsi="Arial"/>
                <w:sz w:val="10"/>
                <w:szCs w:val="10"/>
                <w:color w:val="auto"/>
              </w:rPr>
              <w:t>6,307</w:t>
            </w:r>
            <w:r>
              <w:rPr>
                <w:rFonts w:ascii="Arial" w:cs="Arial" w:eastAsia="Arial" w:hAnsi="Arial"/>
                <w:sz w:val="14"/>
                <w:szCs w:val="14"/>
                <w:color w:val="auto"/>
                <w:vertAlign w:val="superscript"/>
              </w:rPr>
              <w:t>7</w:t>
            </w:r>
          </w:p>
        </w:tc>
        <w:tc>
          <w:tcPr>
            <w:tcW w:w="1120" w:type="dxa"/>
            <w:vAlign w:val="bottom"/>
            <w:tcBorders>
              <w:right w:val="single" w:sz="8" w:color="47829E"/>
            </w:tcBorders>
          </w:tcPr>
          <w:p>
            <w:pPr>
              <w:jc w:val="right"/>
              <w:ind w:right="33"/>
              <w:spacing w:after="0" w:line="122" w:lineRule="exact"/>
              <w:rPr>
                <w:sz w:val="20"/>
                <w:szCs w:val="20"/>
                <w:color w:val="auto"/>
              </w:rPr>
            </w:pPr>
            <w:r>
              <w:rPr>
                <w:rFonts w:ascii="Arial" w:cs="Arial" w:eastAsia="Arial" w:hAnsi="Arial"/>
                <w:sz w:val="14"/>
                <w:szCs w:val="14"/>
                <w:color w:val="auto"/>
              </w:rPr>
              <w:t>695,788</w:t>
            </w:r>
          </w:p>
        </w:tc>
        <w:tc>
          <w:tcPr>
            <w:tcW w:w="1180" w:type="dxa"/>
            <w:vAlign w:val="bottom"/>
            <w:tcBorders>
              <w:right w:val="single" w:sz="8" w:color="47829E"/>
            </w:tcBorders>
          </w:tcPr>
          <w:p>
            <w:pPr>
              <w:jc w:val="right"/>
              <w:ind w:right="32"/>
              <w:spacing w:after="0" w:line="122" w:lineRule="exact"/>
              <w:rPr>
                <w:sz w:val="20"/>
                <w:szCs w:val="20"/>
                <w:color w:val="auto"/>
              </w:rPr>
            </w:pPr>
            <w:r>
              <w:rPr>
                <w:rFonts w:ascii="Arial" w:cs="Arial" w:eastAsia="Arial" w:hAnsi="Arial"/>
                <w:sz w:val="14"/>
                <w:szCs w:val="14"/>
                <w:color w:val="auto"/>
              </w:rPr>
              <w:t>1,400</w:t>
            </w:r>
          </w:p>
        </w:tc>
        <w:tc>
          <w:tcPr>
            <w:tcW w:w="1240" w:type="dxa"/>
            <w:vAlign w:val="bottom"/>
            <w:tcBorders>
              <w:right w:val="single" w:sz="8" w:color="47829E"/>
            </w:tcBorders>
          </w:tcPr>
          <w:p>
            <w:pPr>
              <w:jc w:val="right"/>
              <w:ind w:right="132"/>
              <w:spacing w:after="0" w:line="122" w:lineRule="exact"/>
              <w:rPr>
                <w:sz w:val="20"/>
                <w:szCs w:val="20"/>
                <w:color w:val="auto"/>
              </w:rPr>
            </w:pPr>
            <w:r>
              <w:rPr>
                <w:rFonts w:ascii="Arial" w:cs="Arial" w:eastAsia="Arial" w:hAnsi="Arial"/>
                <w:sz w:val="14"/>
                <w:szCs w:val="14"/>
                <w:color w:val="auto"/>
              </w:rPr>
              <w:t>154,448</w:t>
            </w: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tcPr>
          <w:p>
            <w:pPr>
              <w:spacing w:after="0"/>
              <w:rPr>
                <w:sz w:val="12"/>
                <w:szCs w:val="12"/>
                <w:color w:val="auto"/>
              </w:rPr>
            </w:pPr>
          </w:p>
        </w:tc>
        <w:tc>
          <w:tcPr>
            <w:tcW w:w="110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15,707</w:t>
            </w:r>
          </w:p>
        </w:tc>
        <w:tc>
          <w:tcPr>
            <w:tcW w:w="1280" w:type="dxa"/>
            <w:vAlign w:val="bottom"/>
            <w:tcBorders>
              <w:right w:val="single" w:sz="8" w:color="47829E"/>
            </w:tcBorders>
          </w:tcPr>
          <w:p>
            <w:pPr>
              <w:jc w:val="right"/>
              <w:ind w:right="57"/>
              <w:spacing w:after="0" w:line="149" w:lineRule="exact"/>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117.77</w:t>
            </w:r>
          </w:p>
        </w:tc>
        <w:tc>
          <w:tcPr>
            <w:tcW w:w="960" w:type="dxa"/>
            <w:vAlign w:val="bottom"/>
            <w:tcBorders>
              <w:right w:val="single" w:sz="8" w:color="47829E"/>
            </w:tcBorders>
          </w:tcPr>
          <w:p>
            <w:pPr>
              <w:ind w:left="260"/>
              <w:spacing w:after="0" w:line="149" w:lineRule="exact"/>
              <w:rPr>
                <w:sz w:val="20"/>
                <w:szCs w:val="20"/>
                <w:color w:val="auto"/>
              </w:rPr>
            </w:pPr>
            <w:r>
              <w:rPr>
                <w:rFonts w:ascii="Arial" w:cs="Arial" w:eastAsia="Arial" w:hAnsi="Arial"/>
                <w:sz w:val="14"/>
                <w:szCs w:val="14"/>
                <w:color w:val="auto"/>
              </w:rPr>
              <w:t>5/28/2016</w:t>
            </w:r>
          </w:p>
        </w:tc>
        <w:tc>
          <w:tcPr>
            <w:tcW w:w="1140" w:type="dxa"/>
            <w:vAlign w:val="bottom"/>
            <w:tcBorders>
              <w:right w:val="single" w:sz="8" w:color="47829E"/>
            </w:tcBorders>
          </w:tcPr>
          <w:p>
            <w:pPr>
              <w:ind w:left="600"/>
              <w:spacing w:after="0" w:line="149" w:lineRule="exact"/>
              <w:rPr>
                <w:sz w:val="20"/>
                <w:szCs w:val="20"/>
                <w:color w:val="auto"/>
              </w:rPr>
            </w:pPr>
            <w:r>
              <w:rPr>
                <w:rFonts w:ascii="Arial" w:cs="Arial" w:eastAsia="Arial" w:hAnsi="Arial"/>
                <w:sz w:val="11"/>
                <w:szCs w:val="11"/>
                <w:color w:val="auto"/>
              </w:rPr>
              <w:t>8,159</w:t>
            </w:r>
            <w:r>
              <w:rPr>
                <w:rFonts w:ascii="Arial" w:cs="Arial" w:eastAsia="Arial" w:hAnsi="Arial"/>
                <w:sz w:val="17"/>
                <w:szCs w:val="17"/>
                <w:color w:val="auto"/>
                <w:vertAlign w:val="superscript"/>
              </w:rPr>
              <w:t>8</w:t>
            </w:r>
          </w:p>
        </w:tc>
        <w:tc>
          <w:tcPr>
            <w:tcW w:w="112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900,101</w:t>
            </w:r>
          </w:p>
        </w:tc>
        <w:tc>
          <w:tcPr>
            <w:tcW w:w="1180" w:type="dxa"/>
            <w:vAlign w:val="bottom"/>
            <w:tcBorders>
              <w:right w:val="single" w:sz="8" w:color="47829E"/>
            </w:tcBorders>
          </w:tcPr>
          <w:p>
            <w:pPr>
              <w:spacing w:after="0"/>
              <w:rPr>
                <w:sz w:val="12"/>
                <w:szCs w:val="12"/>
                <w:color w:val="auto"/>
              </w:rPr>
            </w:pPr>
          </w:p>
        </w:tc>
        <w:tc>
          <w:tcPr>
            <w:tcW w:w="12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tcPr>
          <w:p>
            <w:pPr>
              <w:spacing w:after="0"/>
              <w:rPr>
                <w:sz w:val="12"/>
                <w:szCs w:val="12"/>
                <w:color w:val="auto"/>
              </w:rPr>
            </w:pPr>
          </w:p>
        </w:tc>
        <w:tc>
          <w:tcPr>
            <w:tcW w:w="110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15,039</w:t>
            </w:r>
          </w:p>
        </w:tc>
        <w:tc>
          <w:tcPr>
            <w:tcW w:w="1280" w:type="dxa"/>
            <w:vAlign w:val="bottom"/>
            <w:tcBorders>
              <w:right w:val="single" w:sz="8" w:color="47829E"/>
            </w:tcBorders>
          </w:tcPr>
          <w:p>
            <w:pPr>
              <w:jc w:val="right"/>
              <w:ind w:right="57"/>
              <w:spacing w:after="0" w:line="149" w:lineRule="exact"/>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79.79</w:t>
            </w:r>
          </w:p>
        </w:tc>
        <w:tc>
          <w:tcPr>
            <w:tcW w:w="960" w:type="dxa"/>
            <w:vAlign w:val="bottom"/>
            <w:tcBorders>
              <w:right w:val="single" w:sz="8" w:color="47829E"/>
            </w:tcBorders>
          </w:tcPr>
          <w:p>
            <w:pPr>
              <w:ind w:left="260"/>
              <w:spacing w:after="0" w:line="149" w:lineRule="exact"/>
              <w:rPr>
                <w:sz w:val="20"/>
                <w:szCs w:val="20"/>
                <w:color w:val="auto"/>
              </w:rPr>
            </w:pPr>
            <w:r>
              <w:rPr>
                <w:rFonts w:ascii="Arial" w:cs="Arial" w:eastAsia="Arial" w:hAnsi="Arial"/>
                <w:sz w:val="14"/>
                <w:szCs w:val="14"/>
                <w:color w:val="auto"/>
              </w:rPr>
              <w:t>5/27/2017</w:t>
            </w:r>
          </w:p>
        </w:tc>
        <w:tc>
          <w:tcPr>
            <w:tcW w:w="1140" w:type="dxa"/>
            <w:vAlign w:val="bottom"/>
            <w:tcBorders>
              <w:right w:val="single" w:sz="8" w:color="47829E"/>
            </w:tcBorders>
          </w:tcPr>
          <w:p>
            <w:pPr>
              <w:ind w:left="600"/>
              <w:spacing w:after="0" w:line="149" w:lineRule="exact"/>
              <w:rPr>
                <w:sz w:val="20"/>
                <w:szCs w:val="20"/>
                <w:color w:val="auto"/>
              </w:rPr>
            </w:pPr>
            <w:r>
              <w:rPr>
                <w:rFonts w:ascii="Arial" w:cs="Arial" w:eastAsia="Arial" w:hAnsi="Arial"/>
                <w:sz w:val="11"/>
                <w:szCs w:val="11"/>
                <w:color w:val="auto"/>
              </w:rPr>
              <w:t>7,238</w:t>
            </w:r>
            <w:r>
              <w:rPr>
                <w:rFonts w:ascii="Arial" w:cs="Arial" w:eastAsia="Arial" w:hAnsi="Arial"/>
                <w:sz w:val="17"/>
                <w:szCs w:val="17"/>
                <w:color w:val="auto"/>
                <w:vertAlign w:val="superscript"/>
              </w:rPr>
              <w:t>9</w:t>
            </w:r>
          </w:p>
        </w:tc>
        <w:tc>
          <w:tcPr>
            <w:tcW w:w="112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798,496</w:t>
            </w:r>
          </w:p>
        </w:tc>
        <w:tc>
          <w:tcPr>
            <w:tcW w:w="1180" w:type="dxa"/>
            <w:vAlign w:val="bottom"/>
            <w:tcBorders>
              <w:right w:val="single" w:sz="8" w:color="47829E"/>
            </w:tcBorders>
          </w:tcPr>
          <w:p>
            <w:pPr>
              <w:spacing w:after="0"/>
              <w:rPr>
                <w:sz w:val="12"/>
                <w:szCs w:val="12"/>
                <w:color w:val="auto"/>
              </w:rPr>
            </w:pPr>
          </w:p>
        </w:tc>
        <w:tc>
          <w:tcPr>
            <w:tcW w:w="12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tcPr>
          <w:p>
            <w:pPr>
              <w:spacing w:after="0"/>
              <w:rPr>
                <w:sz w:val="12"/>
                <w:szCs w:val="12"/>
                <w:color w:val="auto"/>
              </w:rPr>
            </w:pPr>
          </w:p>
        </w:tc>
        <w:tc>
          <w:tcPr>
            <w:tcW w:w="110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11,196</w:t>
            </w:r>
          </w:p>
        </w:tc>
        <w:tc>
          <w:tcPr>
            <w:tcW w:w="1280" w:type="dxa"/>
            <w:vAlign w:val="bottom"/>
            <w:tcBorders>
              <w:right w:val="single" w:sz="8" w:color="47829E"/>
            </w:tcBorders>
          </w:tcPr>
          <w:p>
            <w:pPr>
              <w:jc w:val="right"/>
              <w:ind w:right="57"/>
              <w:spacing w:after="0" w:line="149" w:lineRule="exact"/>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95.27</w:t>
            </w:r>
          </w:p>
        </w:tc>
        <w:tc>
          <w:tcPr>
            <w:tcW w:w="960" w:type="dxa"/>
            <w:vAlign w:val="bottom"/>
            <w:tcBorders>
              <w:right w:val="single" w:sz="8" w:color="47829E"/>
            </w:tcBorders>
          </w:tcPr>
          <w:p>
            <w:pPr>
              <w:ind w:left="260"/>
              <w:spacing w:after="0" w:line="149" w:lineRule="exact"/>
              <w:rPr>
                <w:sz w:val="20"/>
                <w:szCs w:val="20"/>
                <w:color w:val="auto"/>
              </w:rPr>
            </w:pPr>
            <w:r>
              <w:rPr>
                <w:rFonts w:ascii="Arial" w:cs="Arial" w:eastAsia="Arial" w:hAnsi="Arial"/>
                <w:sz w:val="14"/>
                <w:szCs w:val="14"/>
                <w:color w:val="auto"/>
              </w:rPr>
              <w:t>5/27/2018</w:t>
            </w:r>
          </w:p>
        </w:tc>
        <w:tc>
          <w:tcPr>
            <w:tcW w:w="1140" w:type="dxa"/>
            <w:vAlign w:val="bottom"/>
            <w:tcBorders>
              <w:right w:val="single" w:sz="8" w:color="47829E"/>
            </w:tcBorders>
          </w:tcPr>
          <w:p>
            <w:pPr>
              <w:ind w:left="600"/>
              <w:spacing w:after="0" w:line="149" w:lineRule="exact"/>
              <w:rPr>
                <w:sz w:val="20"/>
                <w:szCs w:val="20"/>
                <w:color w:val="auto"/>
              </w:rPr>
            </w:pPr>
            <w:r>
              <w:rPr>
                <w:rFonts w:ascii="Arial" w:cs="Arial" w:eastAsia="Arial" w:hAnsi="Arial"/>
                <w:sz w:val="11"/>
                <w:szCs w:val="11"/>
                <w:color w:val="auto"/>
              </w:rPr>
              <w:t>6,792</w:t>
            </w:r>
            <w:r>
              <w:rPr>
                <w:rFonts w:ascii="Arial" w:cs="Arial" w:eastAsia="Arial" w:hAnsi="Arial"/>
                <w:sz w:val="17"/>
                <w:szCs w:val="17"/>
                <w:color w:val="auto"/>
                <w:vertAlign w:val="superscript"/>
              </w:rPr>
              <w:t>10</w:t>
            </w:r>
          </w:p>
        </w:tc>
        <w:tc>
          <w:tcPr>
            <w:tcW w:w="112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749,293</w:t>
            </w:r>
          </w:p>
        </w:tc>
        <w:tc>
          <w:tcPr>
            <w:tcW w:w="1180" w:type="dxa"/>
            <w:vAlign w:val="bottom"/>
            <w:tcBorders>
              <w:right w:val="single" w:sz="8" w:color="47829E"/>
            </w:tcBorders>
          </w:tcPr>
          <w:p>
            <w:pPr>
              <w:spacing w:after="0"/>
              <w:rPr>
                <w:sz w:val="12"/>
                <w:szCs w:val="12"/>
                <w:color w:val="auto"/>
              </w:rPr>
            </w:pPr>
          </w:p>
        </w:tc>
        <w:tc>
          <w:tcPr>
            <w:tcW w:w="12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tcPr>
          <w:p>
            <w:pPr>
              <w:spacing w:after="0"/>
              <w:rPr>
                <w:sz w:val="12"/>
                <w:szCs w:val="12"/>
                <w:color w:val="auto"/>
              </w:rPr>
            </w:pPr>
          </w:p>
        </w:tc>
        <w:tc>
          <w:tcPr>
            <w:tcW w:w="110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9,456</w:t>
            </w:r>
          </w:p>
        </w:tc>
        <w:tc>
          <w:tcPr>
            <w:tcW w:w="12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1"/>
                <w:szCs w:val="11"/>
                <w:color w:val="auto"/>
              </w:rPr>
              <w:t>3,153</w:t>
            </w:r>
            <w:r>
              <w:rPr>
                <w:rFonts w:ascii="Arial" w:cs="Arial" w:eastAsia="Arial" w:hAnsi="Arial"/>
                <w:sz w:val="17"/>
                <w:szCs w:val="17"/>
                <w:color w:val="auto"/>
                <w:vertAlign w:val="superscript"/>
              </w:rPr>
              <w:t>3</w:t>
            </w:r>
          </w:p>
        </w:tc>
        <w:tc>
          <w:tcPr>
            <w:tcW w:w="1080" w:type="dxa"/>
            <w:vAlign w:val="bottom"/>
            <w:tcBorders>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86.90</w:t>
            </w:r>
          </w:p>
        </w:tc>
        <w:tc>
          <w:tcPr>
            <w:tcW w:w="960" w:type="dxa"/>
            <w:vAlign w:val="bottom"/>
            <w:tcBorders>
              <w:right w:val="single" w:sz="8" w:color="47829E"/>
            </w:tcBorders>
          </w:tcPr>
          <w:p>
            <w:pPr>
              <w:ind w:left="260"/>
              <w:spacing w:after="0" w:line="149" w:lineRule="exact"/>
              <w:rPr>
                <w:sz w:val="20"/>
                <w:szCs w:val="20"/>
                <w:color w:val="auto"/>
              </w:rPr>
            </w:pPr>
            <w:r>
              <w:rPr>
                <w:rFonts w:ascii="Arial" w:cs="Arial" w:eastAsia="Arial" w:hAnsi="Arial"/>
                <w:sz w:val="14"/>
                <w:szCs w:val="14"/>
                <w:color w:val="auto"/>
              </w:rPr>
              <w:t>5/12/2019</w:t>
            </w:r>
          </w:p>
        </w:tc>
        <w:tc>
          <w:tcPr>
            <w:tcW w:w="1140" w:type="dxa"/>
            <w:vAlign w:val="bottom"/>
            <w:tcBorders>
              <w:right w:val="single" w:sz="8" w:color="47829E"/>
            </w:tcBorders>
          </w:tcPr>
          <w:p>
            <w:pPr>
              <w:jc w:val="right"/>
              <w:ind w:right="3"/>
              <w:spacing w:after="0" w:line="149" w:lineRule="exact"/>
              <w:rPr>
                <w:sz w:val="20"/>
                <w:szCs w:val="20"/>
                <w:color w:val="auto"/>
              </w:rPr>
            </w:pPr>
            <w:r>
              <w:rPr>
                <w:rFonts w:ascii="Arial" w:cs="Arial" w:eastAsia="Arial" w:hAnsi="Arial"/>
                <w:sz w:val="11"/>
                <w:szCs w:val="11"/>
                <w:color w:val="auto"/>
              </w:rPr>
              <w:t>22,070</w:t>
            </w:r>
            <w:r>
              <w:rPr>
                <w:rFonts w:ascii="Arial" w:cs="Arial" w:eastAsia="Arial" w:hAnsi="Arial"/>
                <w:sz w:val="17"/>
                <w:szCs w:val="17"/>
                <w:color w:val="auto"/>
                <w:vertAlign w:val="superscript"/>
              </w:rPr>
              <w:t>11</w:t>
            </w:r>
          </w:p>
        </w:tc>
        <w:tc>
          <w:tcPr>
            <w:tcW w:w="112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2,434,762</w:t>
            </w:r>
          </w:p>
        </w:tc>
        <w:tc>
          <w:tcPr>
            <w:tcW w:w="1180" w:type="dxa"/>
            <w:vAlign w:val="bottom"/>
            <w:tcBorders>
              <w:right w:val="single" w:sz="8" w:color="47829E"/>
            </w:tcBorders>
          </w:tcPr>
          <w:p>
            <w:pPr>
              <w:spacing w:after="0"/>
              <w:rPr>
                <w:sz w:val="12"/>
                <w:szCs w:val="12"/>
                <w:color w:val="auto"/>
              </w:rPr>
            </w:pPr>
          </w:p>
        </w:tc>
        <w:tc>
          <w:tcPr>
            <w:tcW w:w="12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tcPr>
          <w:p>
            <w:pPr>
              <w:spacing w:after="0"/>
              <w:rPr>
                <w:sz w:val="12"/>
                <w:szCs w:val="12"/>
                <w:color w:val="auto"/>
              </w:rPr>
            </w:pPr>
          </w:p>
        </w:tc>
        <w:tc>
          <w:tcPr>
            <w:tcW w:w="110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8,158</w:t>
            </w:r>
          </w:p>
        </w:tc>
        <w:tc>
          <w:tcPr>
            <w:tcW w:w="12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1"/>
                <w:szCs w:val="11"/>
                <w:color w:val="auto"/>
              </w:rPr>
              <w:t>8,159</w:t>
            </w:r>
            <w:r>
              <w:rPr>
                <w:rFonts w:ascii="Arial" w:cs="Arial" w:eastAsia="Arial" w:hAnsi="Arial"/>
                <w:sz w:val="17"/>
                <w:szCs w:val="17"/>
                <w:color w:val="auto"/>
                <w:vertAlign w:val="superscript"/>
              </w:rPr>
              <w:t>4</w:t>
            </w:r>
          </w:p>
        </w:tc>
        <w:tc>
          <w:tcPr>
            <w:tcW w:w="1080" w:type="dxa"/>
            <w:vAlign w:val="bottom"/>
            <w:tcBorders>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69.12</w:t>
            </w:r>
          </w:p>
        </w:tc>
        <w:tc>
          <w:tcPr>
            <w:tcW w:w="960" w:type="dxa"/>
            <w:vAlign w:val="bottom"/>
            <w:tcBorders>
              <w:right w:val="single" w:sz="8" w:color="47829E"/>
            </w:tcBorders>
          </w:tcPr>
          <w:p>
            <w:pPr>
              <w:ind w:left="260"/>
              <w:spacing w:after="0" w:line="149" w:lineRule="exact"/>
              <w:rPr>
                <w:sz w:val="20"/>
                <w:szCs w:val="20"/>
                <w:color w:val="auto"/>
              </w:rPr>
            </w:pPr>
            <w:r>
              <w:rPr>
                <w:rFonts w:ascii="Arial" w:cs="Arial" w:eastAsia="Arial" w:hAnsi="Arial"/>
                <w:sz w:val="14"/>
                <w:szCs w:val="14"/>
                <w:color w:val="auto"/>
              </w:rPr>
              <w:t>5/24/2020</w:t>
            </w:r>
          </w:p>
        </w:tc>
        <w:tc>
          <w:tcPr>
            <w:tcW w:w="1140" w:type="dxa"/>
            <w:vAlign w:val="bottom"/>
            <w:tcBorders>
              <w:right w:val="single" w:sz="8" w:color="47829E"/>
            </w:tcBorders>
          </w:tcPr>
          <w:p>
            <w:pPr>
              <w:ind w:left="600"/>
              <w:spacing w:after="0" w:line="149" w:lineRule="exact"/>
              <w:rPr>
                <w:sz w:val="20"/>
                <w:szCs w:val="20"/>
                <w:color w:val="auto"/>
              </w:rPr>
            </w:pPr>
            <w:r>
              <w:rPr>
                <w:rFonts w:ascii="Arial" w:cs="Arial" w:eastAsia="Arial" w:hAnsi="Arial"/>
                <w:sz w:val="11"/>
                <w:szCs w:val="11"/>
                <w:color w:val="auto"/>
              </w:rPr>
              <w:t>2,646</w:t>
            </w:r>
            <w:r>
              <w:rPr>
                <w:rFonts w:ascii="Arial" w:cs="Arial" w:eastAsia="Arial" w:hAnsi="Arial"/>
                <w:sz w:val="17"/>
                <w:szCs w:val="17"/>
                <w:color w:val="auto"/>
                <w:vertAlign w:val="superscript"/>
              </w:rPr>
              <w:t>12</w:t>
            </w:r>
          </w:p>
        </w:tc>
        <w:tc>
          <w:tcPr>
            <w:tcW w:w="112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291,907</w:t>
            </w:r>
          </w:p>
        </w:tc>
        <w:tc>
          <w:tcPr>
            <w:tcW w:w="1180" w:type="dxa"/>
            <w:vAlign w:val="bottom"/>
            <w:tcBorders>
              <w:right w:val="single" w:sz="8" w:color="47829E"/>
            </w:tcBorders>
          </w:tcPr>
          <w:p>
            <w:pPr>
              <w:spacing w:after="0"/>
              <w:rPr>
                <w:sz w:val="12"/>
                <w:szCs w:val="12"/>
                <w:color w:val="auto"/>
              </w:rPr>
            </w:pPr>
          </w:p>
        </w:tc>
        <w:tc>
          <w:tcPr>
            <w:tcW w:w="12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tcPr>
          <w:p>
            <w:pPr>
              <w:spacing w:after="0"/>
              <w:rPr>
                <w:sz w:val="12"/>
                <w:szCs w:val="12"/>
                <w:color w:val="auto"/>
              </w:rPr>
            </w:pPr>
          </w:p>
        </w:tc>
        <w:tc>
          <w:tcPr>
            <w:tcW w:w="110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3,618</w:t>
            </w:r>
          </w:p>
        </w:tc>
        <w:tc>
          <w:tcPr>
            <w:tcW w:w="12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1"/>
                <w:szCs w:val="11"/>
                <w:color w:val="auto"/>
              </w:rPr>
              <w:t>10,857</w:t>
            </w:r>
            <w:r>
              <w:rPr>
                <w:rFonts w:ascii="Arial" w:cs="Arial" w:eastAsia="Arial" w:hAnsi="Arial"/>
                <w:sz w:val="17"/>
                <w:szCs w:val="17"/>
                <w:color w:val="auto"/>
                <w:vertAlign w:val="superscript"/>
              </w:rPr>
              <w:t>5</w:t>
            </w:r>
          </w:p>
        </w:tc>
        <w:tc>
          <w:tcPr>
            <w:tcW w:w="1080" w:type="dxa"/>
            <w:vAlign w:val="bottom"/>
            <w:tcBorders>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108.24</w:t>
            </w:r>
          </w:p>
        </w:tc>
        <w:tc>
          <w:tcPr>
            <w:tcW w:w="960" w:type="dxa"/>
            <w:vAlign w:val="bottom"/>
            <w:tcBorders>
              <w:right w:val="single" w:sz="8" w:color="47829E"/>
            </w:tcBorders>
          </w:tcPr>
          <w:p>
            <w:pPr>
              <w:ind w:left="260"/>
              <w:spacing w:after="0" w:line="149" w:lineRule="exact"/>
              <w:rPr>
                <w:sz w:val="20"/>
                <w:szCs w:val="20"/>
                <w:color w:val="auto"/>
              </w:rPr>
            </w:pPr>
            <w:r>
              <w:rPr>
                <w:rFonts w:ascii="Arial" w:cs="Arial" w:eastAsia="Arial" w:hAnsi="Arial"/>
                <w:sz w:val="14"/>
                <w:szCs w:val="14"/>
                <w:color w:val="auto"/>
              </w:rPr>
              <w:t>5/23/2023</w:t>
            </w:r>
          </w:p>
        </w:tc>
        <w:tc>
          <w:tcPr>
            <w:tcW w:w="1140" w:type="dxa"/>
            <w:vAlign w:val="bottom"/>
            <w:tcBorders>
              <w:right w:val="single" w:sz="8" w:color="47829E"/>
            </w:tcBorders>
          </w:tcPr>
          <w:p>
            <w:pPr>
              <w:ind w:left="600"/>
              <w:spacing w:after="0" w:line="149" w:lineRule="exact"/>
              <w:rPr>
                <w:sz w:val="20"/>
                <w:szCs w:val="20"/>
                <w:color w:val="auto"/>
              </w:rPr>
            </w:pPr>
            <w:r>
              <w:rPr>
                <w:rFonts w:ascii="Arial" w:cs="Arial" w:eastAsia="Arial" w:hAnsi="Arial"/>
                <w:sz w:val="11"/>
                <w:szCs w:val="11"/>
                <w:color w:val="auto"/>
              </w:rPr>
              <w:t>4,008</w:t>
            </w:r>
            <w:r>
              <w:rPr>
                <w:rFonts w:ascii="Arial" w:cs="Arial" w:eastAsia="Arial" w:hAnsi="Arial"/>
                <w:sz w:val="17"/>
                <w:szCs w:val="17"/>
                <w:color w:val="auto"/>
                <w:vertAlign w:val="superscript"/>
              </w:rPr>
              <w:t>13</w:t>
            </w:r>
          </w:p>
        </w:tc>
        <w:tc>
          <w:tcPr>
            <w:tcW w:w="112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442,163</w:t>
            </w:r>
          </w:p>
        </w:tc>
        <w:tc>
          <w:tcPr>
            <w:tcW w:w="1180" w:type="dxa"/>
            <w:vAlign w:val="bottom"/>
            <w:tcBorders>
              <w:right w:val="single" w:sz="8" w:color="47829E"/>
            </w:tcBorders>
          </w:tcPr>
          <w:p>
            <w:pPr>
              <w:spacing w:after="0"/>
              <w:rPr>
                <w:sz w:val="12"/>
                <w:szCs w:val="12"/>
                <w:color w:val="auto"/>
              </w:rPr>
            </w:pPr>
          </w:p>
        </w:tc>
        <w:tc>
          <w:tcPr>
            <w:tcW w:w="12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tcBorders>
              <w:left w:val="single" w:sz="8" w:color="47829E"/>
              <w:right w:val="single" w:sz="8" w:color="47829E"/>
            </w:tcBorders>
          </w:tcPr>
          <w:p>
            <w:pPr>
              <w:spacing w:after="0"/>
              <w:rPr>
                <w:sz w:val="16"/>
                <w:szCs w:val="16"/>
                <w:color w:val="auto"/>
              </w:rPr>
            </w:pPr>
          </w:p>
        </w:tc>
        <w:tc>
          <w:tcPr>
            <w:tcW w:w="110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0</w:t>
            </w:r>
          </w:p>
        </w:tc>
        <w:tc>
          <w:tcPr>
            <w:tcW w:w="1280" w:type="dxa"/>
            <w:vAlign w:val="bottom"/>
            <w:tcBorders>
              <w:right w:val="single" w:sz="8" w:color="47829E"/>
            </w:tcBorders>
          </w:tcPr>
          <w:p>
            <w:pPr>
              <w:jc w:val="right"/>
              <w:spacing w:after="0" w:line="189" w:lineRule="exact"/>
              <w:rPr>
                <w:sz w:val="20"/>
                <w:szCs w:val="20"/>
                <w:color w:val="auto"/>
              </w:rPr>
            </w:pPr>
            <w:r>
              <w:rPr>
                <w:rFonts w:ascii="Arial" w:cs="Arial" w:eastAsia="Arial" w:hAnsi="Arial"/>
                <w:sz w:val="13"/>
                <w:szCs w:val="13"/>
                <w:color w:val="auto"/>
              </w:rPr>
              <w:t>13,584</w:t>
            </w:r>
            <w:r>
              <w:rPr>
                <w:rFonts w:ascii="Arial" w:cs="Arial" w:eastAsia="Arial" w:hAnsi="Arial"/>
                <w:sz w:val="21"/>
                <w:szCs w:val="21"/>
                <w:color w:val="auto"/>
                <w:vertAlign w:val="superscript"/>
              </w:rPr>
              <w:t>6</w:t>
            </w:r>
          </w:p>
        </w:tc>
        <w:tc>
          <w:tcPr>
            <w:tcW w:w="1080" w:type="dxa"/>
            <w:vAlign w:val="bottom"/>
            <w:tcBorders>
              <w:right w:val="single" w:sz="8" w:color="47829E"/>
            </w:tcBorders>
          </w:tcPr>
          <w:p>
            <w:pPr>
              <w:spacing w:after="0"/>
              <w:rPr>
                <w:sz w:val="16"/>
                <w:szCs w:val="16"/>
                <w:color w:val="auto"/>
              </w:rPr>
            </w:pPr>
          </w:p>
        </w:tc>
        <w:tc>
          <w:tcPr>
            <w:tcW w:w="92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121.00</w:t>
            </w:r>
          </w:p>
        </w:tc>
        <w:tc>
          <w:tcPr>
            <w:tcW w:w="960" w:type="dxa"/>
            <w:vAlign w:val="bottom"/>
            <w:tcBorders>
              <w:right w:val="single" w:sz="8" w:color="47829E"/>
            </w:tcBorders>
          </w:tcPr>
          <w:p>
            <w:pPr>
              <w:ind w:left="260"/>
              <w:spacing w:after="0"/>
              <w:rPr>
                <w:sz w:val="20"/>
                <w:szCs w:val="20"/>
                <w:color w:val="auto"/>
              </w:rPr>
            </w:pPr>
            <w:r>
              <w:rPr>
                <w:rFonts w:ascii="Arial" w:cs="Arial" w:eastAsia="Arial" w:hAnsi="Arial"/>
                <w:sz w:val="14"/>
                <w:szCs w:val="14"/>
                <w:color w:val="auto"/>
              </w:rPr>
              <w:t>5/22/2024</w:t>
            </w:r>
          </w:p>
        </w:tc>
        <w:tc>
          <w:tcPr>
            <w:tcW w:w="1140" w:type="dxa"/>
            <w:vAlign w:val="bottom"/>
            <w:tcBorders>
              <w:right w:val="single" w:sz="8" w:color="47829E"/>
            </w:tcBorders>
          </w:tcPr>
          <w:p>
            <w:pPr>
              <w:spacing w:after="0"/>
              <w:rPr>
                <w:sz w:val="16"/>
                <w:szCs w:val="16"/>
                <w:color w:val="auto"/>
              </w:rPr>
            </w:pPr>
          </w:p>
        </w:tc>
        <w:tc>
          <w:tcPr>
            <w:tcW w:w="1120" w:type="dxa"/>
            <w:vAlign w:val="bottom"/>
            <w:tcBorders>
              <w:right w:val="single" w:sz="8" w:color="47829E"/>
            </w:tcBorders>
          </w:tcPr>
          <w:p>
            <w:pPr>
              <w:spacing w:after="0"/>
              <w:rPr>
                <w:sz w:val="16"/>
                <w:szCs w:val="16"/>
                <w:color w:val="auto"/>
              </w:rPr>
            </w:pPr>
          </w:p>
        </w:tc>
        <w:tc>
          <w:tcPr>
            <w:tcW w:w="1180" w:type="dxa"/>
            <w:vAlign w:val="bottom"/>
            <w:tcBorders>
              <w:right w:val="single" w:sz="8" w:color="47829E"/>
            </w:tcBorders>
          </w:tcPr>
          <w:p>
            <w:pPr>
              <w:spacing w:after="0"/>
              <w:rPr>
                <w:sz w:val="16"/>
                <w:szCs w:val="16"/>
                <w:color w:val="auto"/>
              </w:rPr>
            </w:pPr>
          </w:p>
        </w:tc>
        <w:tc>
          <w:tcPr>
            <w:tcW w:w="124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420" w:type="dxa"/>
            <w:vAlign w:val="bottom"/>
            <w:tcBorders>
              <w:left w:val="single" w:sz="8" w:color="47829E"/>
              <w:right w:val="single" w:sz="8" w:color="47829E"/>
            </w:tcBorders>
            <w:shd w:val="clear" w:color="auto" w:fill="E3ECF0"/>
          </w:tcPr>
          <w:p>
            <w:pPr>
              <w:ind w:left="120"/>
              <w:spacing w:after="0" w:line="122" w:lineRule="exact"/>
              <w:rPr>
                <w:sz w:val="20"/>
                <w:szCs w:val="20"/>
                <w:color w:val="auto"/>
              </w:rPr>
            </w:pPr>
            <w:r>
              <w:rPr>
                <w:rFonts w:ascii="Arial" w:cs="Arial" w:eastAsia="Arial" w:hAnsi="Arial"/>
                <w:sz w:val="14"/>
                <w:szCs w:val="14"/>
                <w:b w:val="1"/>
                <w:bCs w:val="1"/>
                <w:color w:val="auto"/>
              </w:rPr>
              <w:t>Anne H. Lloyd</w:t>
            </w:r>
          </w:p>
        </w:tc>
        <w:tc>
          <w:tcPr>
            <w:tcW w:w="1100" w:type="dxa"/>
            <w:vAlign w:val="bottom"/>
            <w:tcBorders>
              <w:right w:val="single" w:sz="8" w:color="47829E"/>
            </w:tcBorders>
            <w:shd w:val="clear" w:color="auto" w:fill="E3ECF0"/>
          </w:tcPr>
          <w:p>
            <w:pPr>
              <w:jc w:val="right"/>
              <w:ind w:right="32"/>
              <w:spacing w:after="0" w:line="122" w:lineRule="exact"/>
              <w:rPr>
                <w:sz w:val="20"/>
                <w:szCs w:val="20"/>
                <w:color w:val="auto"/>
              </w:rPr>
            </w:pPr>
            <w:r>
              <w:rPr>
                <w:rFonts w:ascii="Arial" w:cs="Arial" w:eastAsia="Arial" w:hAnsi="Arial"/>
                <w:sz w:val="14"/>
                <w:szCs w:val="14"/>
                <w:color w:val="auto"/>
              </w:rPr>
              <w:t>8,602</w:t>
            </w:r>
          </w:p>
        </w:tc>
        <w:tc>
          <w:tcPr>
            <w:tcW w:w="1280" w:type="dxa"/>
            <w:vAlign w:val="bottom"/>
            <w:tcBorders>
              <w:right w:val="single" w:sz="8" w:color="47829E"/>
            </w:tcBorders>
            <w:shd w:val="clear" w:color="auto" w:fill="E3ECF0"/>
          </w:tcPr>
          <w:p>
            <w:pPr>
              <w:jc w:val="right"/>
              <w:ind w:right="57"/>
              <w:spacing w:after="0" w:line="122" w:lineRule="exact"/>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shd w:val="clear" w:color="auto" w:fill="E3ECF0"/>
          </w:tcPr>
          <w:p>
            <w:pPr>
              <w:spacing w:after="0"/>
              <w:rPr>
                <w:sz w:val="10"/>
                <w:szCs w:val="10"/>
                <w:color w:val="auto"/>
              </w:rPr>
            </w:pPr>
          </w:p>
        </w:tc>
        <w:tc>
          <w:tcPr>
            <w:tcW w:w="920" w:type="dxa"/>
            <w:vAlign w:val="bottom"/>
            <w:tcBorders>
              <w:right w:val="single" w:sz="8" w:color="47829E"/>
            </w:tcBorders>
            <w:shd w:val="clear" w:color="auto" w:fill="E3ECF0"/>
          </w:tcPr>
          <w:p>
            <w:pPr>
              <w:jc w:val="right"/>
              <w:ind w:right="32"/>
              <w:spacing w:after="0" w:line="122" w:lineRule="exact"/>
              <w:rPr>
                <w:sz w:val="20"/>
                <w:szCs w:val="20"/>
                <w:color w:val="auto"/>
              </w:rPr>
            </w:pPr>
            <w:r>
              <w:rPr>
                <w:rFonts w:ascii="Arial" w:cs="Arial" w:eastAsia="Arial" w:hAnsi="Arial"/>
                <w:sz w:val="14"/>
                <w:szCs w:val="14"/>
                <w:color w:val="auto"/>
              </w:rPr>
              <w:t>151.92</w:t>
            </w:r>
          </w:p>
        </w:tc>
        <w:tc>
          <w:tcPr>
            <w:tcW w:w="960" w:type="dxa"/>
            <w:vAlign w:val="bottom"/>
            <w:tcBorders>
              <w:right w:val="single" w:sz="8" w:color="47829E"/>
            </w:tcBorders>
            <w:shd w:val="clear" w:color="auto" w:fill="E3ECF0"/>
          </w:tcPr>
          <w:p>
            <w:pPr>
              <w:ind w:left="260"/>
              <w:spacing w:after="0" w:line="122" w:lineRule="exact"/>
              <w:rPr>
                <w:sz w:val="20"/>
                <w:szCs w:val="20"/>
                <w:color w:val="auto"/>
              </w:rPr>
            </w:pPr>
            <w:r>
              <w:rPr>
                <w:rFonts w:ascii="Arial" w:cs="Arial" w:eastAsia="Arial" w:hAnsi="Arial"/>
                <w:sz w:val="14"/>
                <w:szCs w:val="14"/>
                <w:color w:val="auto"/>
              </w:rPr>
              <w:t>5/22/2015</w:t>
            </w:r>
          </w:p>
        </w:tc>
        <w:tc>
          <w:tcPr>
            <w:tcW w:w="1140" w:type="dxa"/>
            <w:vAlign w:val="bottom"/>
            <w:tcBorders>
              <w:right w:val="single" w:sz="8" w:color="47829E"/>
            </w:tcBorders>
            <w:shd w:val="clear" w:color="auto" w:fill="E3ECF0"/>
          </w:tcPr>
          <w:p>
            <w:pPr>
              <w:ind w:left="600"/>
              <w:spacing w:after="0" w:line="122" w:lineRule="exact"/>
              <w:rPr>
                <w:sz w:val="20"/>
                <w:szCs w:val="20"/>
                <w:color w:val="auto"/>
              </w:rPr>
            </w:pPr>
            <w:r>
              <w:rPr>
                <w:rFonts w:ascii="Arial" w:cs="Arial" w:eastAsia="Arial" w:hAnsi="Arial"/>
                <w:sz w:val="10"/>
                <w:szCs w:val="10"/>
                <w:color w:val="auto"/>
              </w:rPr>
              <w:t>2,137</w:t>
            </w:r>
            <w:r>
              <w:rPr>
                <w:rFonts w:ascii="Arial" w:cs="Arial" w:eastAsia="Arial" w:hAnsi="Arial"/>
                <w:sz w:val="14"/>
                <w:szCs w:val="14"/>
                <w:color w:val="auto"/>
                <w:vertAlign w:val="superscript"/>
              </w:rPr>
              <w:t>7</w:t>
            </w:r>
          </w:p>
        </w:tc>
        <w:tc>
          <w:tcPr>
            <w:tcW w:w="1120" w:type="dxa"/>
            <w:vAlign w:val="bottom"/>
            <w:tcBorders>
              <w:right w:val="single" w:sz="8" w:color="47829E"/>
            </w:tcBorders>
            <w:shd w:val="clear" w:color="auto" w:fill="E3ECF0"/>
          </w:tcPr>
          <w:p>
            <w:pPr>
              <w:jc w:val="right"/>
              <w:ind w:right="33"/>
              <w:spacing w:after="0" w:line="122" w:lineRule="exact"/>
              <w:rPr>
                <w:sz w:val="20"/>
                <w:szCs w:val="20"/>
                <w:color w:val="auto"/>
              </w:rPr>
            </w:pPr>
            <w:r>
              <w:rPr>
                <w:rFonts w:ascii="Arial" w:cs="Arial" w:eastAsia="Arial" w:hAnsi="Arial"/>
                <w:sz w:val="14"/>
                <w:szCs w:val="14"/>
                <w:color w:val="auto"/>
              </w:rPr>
              <w:t>235,754</w:t>
            </w:r>
          </w:p>
        </w:tc>
        <w:tc>
          <w:tcPr>
            <w:tcW w:w="1180" w:type="dxa"/>
            <w:vAlign w:val="bottom"/>
            <w:tcBorders>
              <w:right w:val="single" w:sz="8" w:color="47829E"/>
            </w:tcBorders>
            <w:shd w:val="clear" w:color="auto" w:fill="E3ECF0"/>
          </w:tcPr>
          <w:p>
            <w:pPr>
              <w:jc w:val="right"/>
              <w:ind w:right="32"/>
              <w:spacing w:after="0" w:line="122" w:lineRule="exact"/>
              <w:rPr>
                <w:sz w:val="20"/>
                <w:szCs w:val="20"/>
                <w:color w:val="auto"/>
              </w:rPr>
            </w:pPr>
            <w:r>
              <w:rPr>
                <w:rFonts w:ascii="Arial" w:cs="Arial" w:eastAsia="Arial" w:hAnsi="Arial"/>
                <w:sz w:val="14"/>
                <w:szCs w:val="14"/>
                <w:color w:val="auto"/>
              </w:rPr>
              <w:t>792</w:t>
            </w:r>
          </w:p>
        </w:tc>
        <w:tc>
          <w:tcPr>
            <w:tcW w:w="1240" w:type="dxa"/>
            <w:vAlign w:val="bottom"/>
            <w:tcBorders>
              <w:right w:val="single" w:sz="8" w:color="47829E"/>
            </w:tcBorders>
            <w:shd w:val="clear" w:color="auto" w:fill="E3ECF0"/>
          </w:tcPr>
          <w:p>
            <w:pPr>
              <w:jc w:val="right"/>
              <w:ind w:right="132"/>
              <w:spacing w:after="0" w:line="122" w:lineRule="exact"/>
              <w:rPr>
                <w:sz w:val="20"/>
                <w:szCs w:val="20"/>
                <w:color w:val="auto"/>
              </w:rPr>
            </w:pPr>
            <w:r>
              <w:rPr>
                <w:rFonts w:ascii="Arial" w:cs="Arial" w:eastAsia="Arial" w:hAnsi="Arial"/>
                <w:sz w:val="14"/>
                <w:szCs w:val="14"/>
                <w:color w:val="auto"/>
              </w:rPr>
              <w:t>87,373</w:t>
            </w: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shd w:val="clear" w:color="auto" w:fill="E3ECF0"/>
          </w:tcPr>
          <w:p>
            <w:pPr>
              <w:spacing w:after="0"/>
              <w:rPr>
                <w:sz w:val="12"/>
                <w:szCs w:val="12"/>
                <w:color w:val="auto"/>
              </w:rPr>
            </w:pPr>
          </w:p>
        </w:tc>
        <w:tc>
          <w:tcPr>
            <w:tcW w:w="110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10,263</w:t>
            </w:r>
          </w:p>
        </w:tc>
        <w:tc>
          <w:tcPr>
            <w:tcW w:w="1280" w:type="dxa"/>
            <w:vAlign w:val="bottom"/>
            <w:tcBorders>
              <w:right w:val="single" w:sz="8" w:color="47829E"/>
            </w:tcBorders>
            <w:shd w:val="clear" w:color="auto" w:fill="E3ECF0"/>
          </w:tcPr>
          <w:p>
            <w:pPr>
              <w:jc w:val="right"/>
              <w:ind w:right="57"/>
              <w:spacing w:after="0" w:line="149" w:lineRule="exact"/>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shd w:val="clear" w:color="auto" w:fill="E3ECF0"/>
          </w:tcPr>
          <w:p>
            <w:pPr>
              <w:spacing w:after="0"/>
              <w:rPr>
                <w:sz w:val="12"/>
                <w:szCs w:val="12"/>
                <w:color w:val="auto"/>
              </w:rPr>
            </w:pPr>
          </w:p>
        </w:tc>
        <w:tc>
          <w:tcPr>
            <w:tcW w:w="92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117.77</w:t>
            </w:r>
          </w:p>
        </w:tc>
        <w:tc>
          <w:tcPr>
            <w:tcW w:w="960" w:type="dxa"/>
            <w:vAlign w:val="bottom"/>
            <w:tcBorders>
              <w:right w:val="single" w:sz="8" w:color="47829E"/>
            </w:tcBorders>
            <w:shd w:val="clear" w:color="auto" w:fill="E3ECF0"/>
          </w:tcPr>
          <w:p>
            <w:pPr>
              <w:ind w:left="260"/>
              <w:spacing w:after="0" w:line="149" w:lineRule="exact"/>
              <w:rPr>
                <w:sz w:val="20"/>
                <w:szCs w:val="20"/>
                <w:color w:val="auto"/>
              </w:rPr>
            </w:pPr>
            <w:r>
              <w:rPr>
                <w:rFonts w:ascii="Arial" w:cs="Arial" w:eastAsia="Arial" w:hAnsi="Arial"/>
                <w:sz w:val="14"/>
                <w:szCs w:val="14"/>
                <w:color w:val="auto"/>
              </w:rPr>
              <w:t>5/28/2016</w:t>
            </w:r>
          </w:p>
        </w:tc>
        <w:tc>
          <w:tcPr>
            <w:tcW w:w="1140" w:type="dxa"/>
            <w:vAlign w:val="bottom"/>
            <w:tcBorders>
              <w:right w:val="single" w:sz="8" w:color="47829E"/>
            </w:tcBorders>
            <w:shd w:val="clear" w:color="auto" w:fill="E3ECF0"/>
          </w:tcPr>
          <w:p>
            <w:pPr>
              <w:ind w:left="600"/>
              <w:spacing w:after="0" w:line="149" w:lineRule="exact"/>
              <w:rPr>
                <w:sz w:val="20"/>
                <w:szCs w:val="20"/>
                <w:color w:val="auto"/>
              </w:rPr>
            </w:pPr>
            <w:r>
              <w:rPr>
                <w:rFonts w:ascii="Arial" w:cs="Arial" w:eastAsia="Arial" w:hAnsi="Arial"/>
                <w:sz w:val="11"/>
                <w:szCs w:val="11"/>
                <w:color w:val="auto"/>
              </w:rPr>
              <w:t>2,765</w:t>
            </w:r>
            <w:r>
              <w:rPr>
                <w:rFonts w:ascii="Arial" w:cs="Arial" w:eastAsia="Arial" w:hAnsi="Arial"/>
                <w:sz w:val="17"/>
                <w:szCs w:val="17"/>
                <w:color w:val="auto"/>
                <w:vertAlign w:val="superscript"/>
              </w:rPr>
              <w:t>8</w:t>
            </w:r>
          </w:p>
        </w:tc>
        <w:tc>
          <w:tcPr>
            <w:tcW w:w="112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305,035</w:t>
            </w:r>
          </w:p>
        </w:tc>
        <w:tc>
          <w:tcPr>
            <w:tcW w:w="1180" w:type="dxa"/>
            <w:vAlign w:val="bottom"/>
            <w:tcBorders>
              <w:right w:val="single" w:sz="8" w:color="47829E"/>
            </w:tcBorders>
            <w:shd w:val="clear" w:color="auto" w:fill="E3ECF0"/>
          </w:tcPr>
          <w:p>
            <w:pPr>
              <w:spacing w:after="0"/>
              <w:rPr>
                <w:sz w:val="12"/>
                <w:szCs w:val="12"/>
                <w:color w:val="auto"/>
              </w:rPr>
            </w:pPr>
          </w:p>
        </w:tc>
        <w:tc>
          <w:tcPr>
            <w:tcW w:w="1240" w:type="dxa"/>
            <w:vAlign w:val="bottom"/>
            <w:tcBorders>
              <w:right w:val="single" w:sz="8" w:color="47829E"/>
            </w:tcBorders>
            <w:shd w:val="clear" w:color="auto" w:fill="E3ECF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shd w:val="clear" w:color="auto" w:fill="E3ECF0"/>
          </w:tcPr>
          <w:p>
            <w:pPr>
              <w:spacing w:after="0"/>
              <w:rPr>
                <w:sz w:val="12"/>
                <w:szCs w:val="12"/>
                <w:color w:val="auto"/>
              </w:rPr>
            </w:pPr>
          </w:p>
        </w:tc>
        <w:tc>
          <w:tcPr>
            <w:tcW w:w="110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9,060</w:t>
            </w:r>
          </w:p>
        </w:tc>
        <w:tc>
          <w:tcPr>
            <w:tcW w:w="1280" w:type="dxa"/>
            <w:vAlign w:val="bottom"/>
            <w:tcBorders>
              <w:right w:val="single" w:sz="8" w:color="47829E"/>
            </w:tcBorders>
            <w:shd w:val="clear" w:color="auto" w:fill="E3ECF0"/>
          </w:tcPr>
          <w:p>
            <w:pPr>
              <w:jc w:val="right"/>
              <w:ind w:right="57"/>
              <w:spacing w:after="0" w:line="149" w:lineRule="exact"/>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shd w:val="clear" w:color="auto" w:fill="E3ECF0"/>
          </w:tcPr>
          <w:p>
            <w:pPr>
              <w:spacing w:after="0"/>
              <w:rPr>
                <w:sz w:val="12"/>
                <w:szCs w:val="12"/>
                <w:color w:val="auto"/>
              </w:rPr>
            </w:pPr>
          </w:p>
        </w:tc>
        <w:tc>
          <w:tcPr>
            <w:tcW w:w="92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79.79</w:t>
            </w:r>
          </w:p>
        </w:tc>
        <w:tc>
          <w:tcPr>
            <w:tcW w:w="960" w:type="dxa"/>
            <w:vAlign w:val="bottom"/>
            <w:tcBorders>
              <w:right w:val="single" w:sz="8" w:color="47829E"/>
            </w:tcBorders>
            <w:shd w:val="clear" w:color="auto" w:fill="E3ECF0"/>
          </w:tcPr>
          <w:p>
            <w:pPr>
              <w:ind w:left="260"/>
              <w:spacing w:after="0" w:line="149" w:lineRule="exact"/>
              <w:rPr>
                <w:sz w:val="20"/>
                <w:szCs w:val="20"/>
                <w:color w:val="auto"/>
              </w:rPr>
            </w:pPr>
            <w:r>
              <w:rPr>
                <w:rFonts w:ascii="Arial" w:cs="Arial" w:eastAsia="Arial" w:hAnsi="Arial"/>
                <w:sz w:val="14"/>
                <w:szCs w:val="14"/>
                <w:color w:val="auto"/>
              </w:rPr>
              <w:t>5/27/2017</w:t>
            </w:r>
          </w:p>
        </w:tc>
        <w:tc>
          <w:tcPr>
            <w:tcW w:w="1140" w:type="dxa"/>
            <w:vAlign w:val="bottom"/>
            <w:tcBorders>
              <w:right w:val="single" w:sz="8" w:color="47829E"/>
            </w:tcBorders>
            <w:shd w:val="clear" w:color="auto" w:fill="E3ECF0"/>
          </w:tcPr>
          <w:p>
            <w:pPr>
              <w:ind w:left="600"/>
              <w:spacing w:after="0" w:line="149" w:lineRule="exact"/>
              <w:rPr>
                <w:sz w:val="20"/>
                <w:szCs w:val="20"/>
                <w:color w:val="auto"/>
              </w:rPr>
            </w:pPr>
            <w:r>
              <w:rPr>
                <w:rFonts w:ascii="Arial" w:cs="Arial" w:eastAsia="Arial" w:hAnsi="Arial"/>
                <w:sz w:val="11"/>
                <w:szCs w:val="11"/>
                <w:color w:val="auto"/>
              </w:rPr>
              <w:t>2,453</w:t>
            </w:r>
            <w:r>
              <w:rPr>
                <w:rFonts w:ascii="Arial" w:cs="Arial" w:eastAsia="Arial" w:hAnsi="Arial"/>
                <w:sz w:val="17"/>
                <w:szCs w:val="17"/>
                <w:color w:val="auto"/>
                <w:vertAlign w:val="superscript"/>
              </w:rPr>
              <w:t>9</w:t>
            </w:r>
          </w:p>
        </w:tc>
        <w:tc>
          <w:tcPr>
            <w:tcW w:w="112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270,615</w:t>
            </w:r>
          </w:p>
        </w:tc>
        <w:tc>
          <w:tcPr>
            <w:tcW w:w="1180" w:type="dxa"/>
            <w:vAlign w:val="bottom"/>
            <w:tcBorders>
              <w:right w:val="single" w:sz="8" w:color="47829E"/>
            </w:tcBorders>
            <w:shd w:val="clear" w:color="auto" w:fill="E3ECF0"/>
          </w:tcPr>
          <w:p>
            <w:pPr>
              <w:spacing w:after="0"/>
              <w:rPr>
                <w:sz w:val="12"/>
                <w:szCs w:val="12"/>
                <w:color w:val="auto"/>
              </w:rPr>
            </w:pPr>
          </w:p>
        </w:tc>
        <w:tc>
          <w:tcPr>
            <w:tcW w:w="1240" w:type="dxa"/>
            <w:vAlign w:val="bottom"/>
            <w:tcBorders>
              <w:right w:val="single" w:sz="8" w:color="47829E"/>
            </w:tcBorders>
            <w:shd w:val="clear" w:color="auto" w:fill="E3ECF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shd w:val="clear" w:color="auto" w:fill="E3ECF0"/>
          </w:tcPr>
          <w:p>
            <w:pPr>
              <w:spacing w:after="0"/>
              <w:rPr>
                <w:sz w:val="12"/>
                <w:szCs w:val="12"/>
                <w:color w:val="auto"/>
              </w:rPr>
            </w:pPr>
          </w:p>
        </w:tc>
        <w:tc>
          <w:tcPr>
            <w:tcW w:w="110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3,794</w:t>
            </w:r>
          </w:p>
        </w:tc>
        <w:tc>
          <w:tcPr>
            <w:tcW w:w="1280" w:type="dxa"/>
            <w:vAlign w:val="bottom"/>
            <w:tcBorders>
              <w:right w:val="single" w:sz="8" w:color="47829E"/>
            </w:tcBorders>
            <w:shd w:val="clear" w:color="auto" w:fill="E3ECF0"/>
          </w:tcPr>
          <w:p>
            <w:pPr>
              <w:jc w:val="right"/>
              <w:ind w:right="57"/>
              <w:spacing w:after="0" w:line="149" w:lineRule="exact"/>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shd w:val="clear" w:color="auto" w:fill="E3ECF0"/>
          </w:tcPr>
          <w:p>
            <w:pPr>
              <w:spacing w:after="0"/>
              <w:rPr>
                <w:sz w:val="12"/>
                <w:szCs w:val="12"/>
                <w:color w:val="auto"/>
              </w:rPr>
            </w:pPr>
          </w:p>
        </w:tc>
        <w:tc>
          <w:tcPr>
            <w:tcW w:w="92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95.27</w:t>
            </w:r>
          </w:p>
        </w:tc>
        <w:tc>
          <w:tcPr>
            <w:tcW w:w="960" w:type="dxa"/>
            <w:vAlign w:val="bottom"/>
            <w:tcBorders>
              <w:right w:val="single" w:sz="8" w:color="47829E"/>
            </w:tcBorders>
            <w:shd w:val="clear" w:color="auto" w:fill="E3ECF0"/>
          </w:tcPr>
          <w:p>
            <w:pPr>
              <w:ind w:left="260"/>
              <w:spacing w:after="0" w:line="149" w:lineRule="exact"/>
              <w:rPr>
                <w:sz w:val="20"/>
                <w:szCs w:val="20"/>
                <w:color w:val="auto"/>
              </w:rPr>
            </w:pPr>
            <w:r>
              <w:rPr>
                <w:rFonts w:ascii="Arial" w:cs="Arial" w:eastAsia="Arial" w:hAnsi="Arial"/>
                <w:sz w:val="14"/>
                <w:szCs w:val="14"/>
                <w:color w:val="auto"/>
              </w:rPr>
              <w:t>5/27/2018</w:t>
            </w:r>
          </w:p>
        </w:tc>
        <w:tc>
          <w:tcPr>
            <w:tcW w:w="1140" w:type="dxa"/>
            <w:vAlign w:val="bottom"/>
            <w:tcBorders>
              <w:right w:val="single" w:sz="8" w:color="47829E"/>
            </w:tcBorders>
            <w:shd w:val="clear" w:color="auto" w:fill="E3ECF0"/>
          </w:tcPr>
          <w:p>
            <w:pPr>
              <w:ind w:left="600"/>
              <w:spacing w:after="0" w:line="149" w:lineRule="exact"/>
              <w:rPr>
                <w:sz w:val="20"/>
                <w:szCs w:val="20"/>
                <w:color w:val="auto"/>
              </w:rPr>
            </w:pPr>
            <w:r>
              <w:rPr>
                <w:rFonts w:ascii="Arial" w:cs="Arial" w:eastAsia="Arial" w:hAnsi="Arial"/>
                <w:sz w:val="11"/>
                <w:szCs w:val="11"/>
                <w:color w:val="auto"/>
              </w:rPr>
              <w:t>2,302</w:t>
            </w:r>
            <w:r>
              <w:rPr>
                <w:rFonts w:ascii="Arial" w:cs="Arial" w:eastAsia="Arial" w:hAnsi="Arial"/>
                <w:sz w:val="17"/>
                <w:szCs w:val="17"/>
                <w:color w:val="auto"/>
                <w:vertAlign w:val="superscript"/>
              </w:rPr>
              <w:t>10</w:t>
            </w:r>
          </w:p>
        </w:tc>
        <w:tc>
          <w:tcPr>
            <w:tcW w:w="112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253,957</w:t>
            </w:r>
          </w:p>
        </w:tc>
        <w:tc>
          <w:tcPr>
            <w:tcW w:w="1180" w:type="dxa"/>
            <w:vAlign w:val="bottom"/>
            <w:tcBorders>
              <w:right w:val="single" w:sz="8" w:color="47829E"/>
            </w:tcBorders>
            <w:shd w:val="clear" w:color="auto" w:fill="E3ECF0"/>
          </w:tcPr>
          <w:p>
            <w:pPr>
              <w:spacing w:after="0"/>
              <w:rPr>
                <w:sz w:val="12"/>
                <w:szCs w:val="12"/>
                <w:color w:val="auto"/>
              </w:rPr>
            </w:pPr>
          </w:p>
        </w:tc>
        <w:tc>
          <w:tcPr>
            <w:tcW w:w="1240" w:type="dxa"/>
            <w:vAlign w:val="bottom"/>
            <w:tcBorders>
              <w:right w:val="single" w:sz="8" w:color="47829E"/>
            </w:tcBorders>
            <w:shd w:val="clear" w:color="auto" w:fill="E3ECF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shd w:val="clear" w:color="auto" w:fill="E3ECF0"/>
          </w:tcPr>
          <w:p>
            <w:pPr>
              <w:spacing w:after="0"/>
              <w:rPr>
                <w:sz w:val="12"/>
                <w:szCs w:val="12"/>
                <w:color w:val="auto"/>
              </w:rPr>
            </w:pPr>
          </w:p>
        </w:tc>
        <w:tc>
          <w:tcPr>
            <w:tcW w:w="110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3,205</w:t>
            </w:r>
          </w:p>
        </w:tc>
        <w:tc>
          <w:tcPr>
            <w:tcW w:w="1280" w:type="dxa"/>
            <w:vAlign w:val="bottom"/>
            <w:tcBorders>
              <w:right w:val="single" w:sz="8" w:color="47829E"/>
            </w:tcBorders>
            <w:shd w:val="clear" w:color="auto" w:fill="E3ECF0"/>
          </w:tcPr>
          <w:p>
            <w:pPr>
              <w:jc w:val="right"/>
              <w:spacing w:after="0" w:line="149" w:lineRule="exact"/>
              <w:rPr>
                <w:sz w:val="20"/>
                <w:szCs w:val="20"/>
                <w:color w:val="auto"/>
              </w:rPr>
            </w:pPr>
            <w:r>
              <w:rPr>
                <w:rFonts w:ascii="Arial" w:cs="Arial" w:eastAsia="Arial" w:hAnsi="Arial"/>
                <w:sz w:val="11"/>
                <w:szCs w:val="11"/>
                <w:color w:val="auto"/>
              </w:rPr>
              <w:t>1,069</w:t>
            </w:r>
            <w:r>
              <w:rPr>
                <w:rFonts w:ascii="Arial" w:cs="Arial" w:eastAsia="Arial" w:hAnsi="Arial"/>
                <w:sz w:val="17"/>
                <w:szCs w:val="17"/>
                <w:color w:val="auto"/>
                <w:vertAlign w:val="superscript"/>
              </w:rPr>
              <w:t>3</w:t>
            </w:r>
          </w:p>
        </w:tc>
        <w:tc>
          <w:tcPr>
            <w:tcW w:w="1080" w:type="dxa"/>
            <w:vAlign w:val="bottom"/>
            <w:tcBorders>
              <w:right w:val="single" w:sz="8" w:color="47829E"/>
            </w:tcBorders>
            <w:shd w:val="clear" w:color="auto" w:fill="E3ECF0"/>
          </w:tcPr>
          <w:p>
            <w:pPr>
              <w:spacing w:after="0"/>
              <w:rPr>
                <w:sz w:val="12"/>
                <w:szCs w:val="12"/>
                <w:color w:val="auto"/>
              </w:rPr>
            </w:pPr>
          </w:p>
        </w:tc>
        <w:tc>
          <w:tcPr>
            <w:tcW w:w="92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86.90</w:t>
            </w:r>
          </w:p>
        </w:tc>
        <w:tc>
          <w:tcPr>
            <w:tcW w:w="960" w:type="dxa"/>
            <w:vAlign w:val="bottom"/>
            <w:tcBorders>
              <w:right w:val="single" w:sz="8" w:color="47829E"/>
            </w:tcBorders>
            <w:shd w:val="clear" w:color="auto" w:fill="E3ECF0"/>
          </w:tcPr>
          <w:p>
            <w:pPr>
              <w:ind w:left="260"/>
              <w:spacing w:after="0" w:line="149" w:lineRule="exact"/>
              <w:rPr>
                <w:sz w:val="20"/>
                <w:szCs w:val="20"/>
                <w:color w:val="auto"/>
              </w:rPr>
            </w:pPr>
            <w:r>
              <w:rPr>
                <w:rFonts w:ascii="Arial" w:cs="Arial" w:eastAsia="Arial" w:hAnsi="Arial"/>
                <w:sz w:val="14"/>
                <w:szCs w:val="14"/>
                <w:color w:val="auto"/>
              </w:rPr>
              <w:t>5/12/2019</w:t>
            </w:r>
          </w:p>
        </w:tc>
        <w:tc>
          <w:tcPr>
            <w:tcW w:w="1140" w:type="dxa"/>
            <w:vAlign w:val="bottom"/>
            <w:tcBorders>
              <w:right w:val="single" w:sz="8" w:color="47829E"/>
            </w:tcBorders>
            <w:shd w:val="clear" w:color="auto" w:fill="E3ECF0"/>
          </w:tcPr>
          <w:p>
            <w:pPr>
              <w:jc w:val="right"/>
              <w:ind w:right="3"/>
              <w:spacing w:after="0" w:line="149" w:lineRule="exact"/>
              <w:rPr>
                <w:sz w:val="20"/>
                <w:szCs w:val="20"/>
                <w:color w:val="auto"/>
              </w:rPr>
            </w:pPr>
            <w:r>
              <w:rPr>
                <w:rFonts w:ascii="Arial" w:cs="Arial" w:eastAsia="Arial" w:hAnsi="Arial"/>
                <w:sz w:val="11"/>
                <w:szCs w:val="11"/>
                <w:color w:val="auto"/>
              </w:rPr>
              <w:t>11,878</w:t>
            </w:r>
            <w:r>
              <w:rPr>
                <w:rFonts w:ascii="Arial" w:cs="Arial" w:eastAsia="Arial" w:hAnsi="Arial"/>
                <w:sz w:val="17"/>
                <w:szCs w:val="17"/>
                <w:color w:val="auto"/>
                <w:vertAlign w:val="superscript"/>
              </w:rPr>
              <w:t>11</w:t>
            </w:r>
          </w:p>
        </w:tc>
        <w:tc>
          <w:tcPr>
            <w:tcW w:w="112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1,310,381</w:t>
            </w:r>
          </w:p>
        </w:tc>
        <w:tc>
          <w:tcPr>
            <w:tcW w:w="1180" w:type="dxa"/>
            <w:vAlign w:val="bottom"/>
            <w:tcBorders>
              <w:right w:val="single" w:sz="8" w:color="47829E"/>
            </w:tcBorders>
            <w:shd w:val="clear" w:color="auto" w:fill="E3ECF0"/>
          </w:tcPr>
          <w:p>
            <w:pPr>
              <w:spacing w:after="0"/>
              <w:rPr>
                <w:sz w:val="12"/>
                <w:szCs w:val="12"/>
                <w:color w:val="auto"/>
              </w:rPr>
            </w:pPr>
          </w:p>
        </w:tc>
        <w:tc>
          <w:tcPr>
            <w:tcW w:w="1240" w:type="dxa"/>
            <w:vAlign w:val="bottom"/>
            <w:tcBorders>
              <w:right w:val="single" w:sz="8" w:color="47829E"/>
            </w:tcBorders>
            <w:shd w:val="clear" w:color="auto" w:fill="E3ECF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shd w:val="clear" w:color="auto" w:fill="E3ECF0"/>
          </w:tcPr>
          <w:p>
            <w:pPr>
              <w:spacing w:after="0"/>
              <w:rPr>
                <w:sz w:val="12"/>
                <w:szCs w:val="12"/>
                <w:color w:val="auto"/>
              </w:rPr>
            </w:pPr>
          </w:p>
        </w:tc>
        <w:tc>
          <w:tcPr>
            <w:tcW w:w="110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2,767</w:t>
            </w:r>
          </w:p>
        </w:tc>
        <w:tc>
          <w:tcPr>
            <w:tcW w:w="1280" w:type="dxa"/>
            <w:vAlign w:val="bottom"/>
            <w:tcBorders>
              <w:right w:val="single" w:sz="8" w:color="47829E"/>
            </w:tcBorders>
            <w:shd w:val="clear" w:color="auto" w:fill="E3ECF0"/>
          </w:tcPr>
          <w:p>
            <w:pPr>
              <w:jc w:val="right"/>
              <w:spacing w:after="0" w:line="149" w:lineRule="exact"/>
              <w:rPr>
                <w:sz w:val="20"/>
                <w:szCs w:val="20"/>
                <w:color w:val="auto"/>
              </w:rPr>
            </w:pPr>
            <w:r>
              <w:rPr>
                <w:rFonts w:ascii="Arial" w:cs="Arial" w:eastAsia="Arial" w:hAnsi="Arial"/>
                <w:sz w:val="11"/>
                <w:szCs w:val="11"/>
                <w:color w:val="auto"/>
              </w:rPr>
              <w:t>2,765</w:t>
            </w:r>
            <w:r>
              <w:rPr>
                <w:rFonts w:ascii="Arial" w:cs="Arial" w:eastAsia="Arial" w:hAnsi="Arial"/>
                <w:sz w:val="17"/>
                <w:szCs w:val="17"/>
                <w:color w:val="auto"/>
                <w:vertAlign w:val="superscript"/>
              </w:rPr>
              <w:t>4</w:t>
            </w:r>
          </w:p>
        </w:tc>
        <w:tc>
          <w:tcPr>
            <w:tcW w:w="1080" w:type="dxa"/>
            <w:vAlign w:val="bottom"/>
            <w:tcBorders>
              <w:right w:val="single" w:sz="8" w:color="47829E"/>
            </w:tcBorders>
            <w:shd w:val="clear" w:color="auto" w:fill="E3ECF0"/>
          </w:tcPr>
          <w:p>
            <w:pPr>
              <w:spacing w:after="0"/>
              <w:rPr>
                <w:sz w:val="12"/>
                <w:szCs w:val="12"/>
                <w:color w:val="auto"/>
              </w:rPr>
            </w:pPr>
          </w:p>
        </w:tc>
        <w:tc>
          <w:tcPr>
            <w:tcW w:w="92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69.12</w:t>
            </w:r>
          </w:p>
        </w:tc>
        <w:tc>
          <w:tcPr>
            <w:tcW w:w="960" w:type="dxa"/>
            <w:vAlign w:val="bottom"/>
            <w:tcBorders>
              <w:right w:val="single" w:sz="8" w:color="47829E"/>
            </w:tcBorders>
            <w:shd w:val="clear" w:color="auto" w:fill="E3ECF0"/>
          </w:tcPr>
          <w:p>
            <w:pPr>
              <w:ind w:left="260"/>
              <w:spacing w:after="0" w:line="149" w:lineRule="exact"/>
              <w:rPr>
                <w:sz w:val="20"/>
                <w:szCs w:val="20"/>
                <w:color w:val="auto"/>
              </w:rPr>
            </w:pPr>
            <w:r>
              <w:rPr>
                <w:rFonts w:ascii="Arial" w:cs="Arial" w:eastAsia="Arial" w:hAnsi="Arial"/>
                <w:sz w:val="14"/>
                <w:szCs w:val="14"/>
                <w:color w:val="auto"/>
              </w:rPr>
              <w:t>5/24/2020</w:t>
            </w:r>
          </w:p>
        </w:tc>
        <w:tc>
          <w:tcPr>
            <w:tcW w:w="1140" w:type="dxa"/>
            <w:vAlign w:val="bottom"/>
            <w:tcBorders>
              <w:right w:val="single" w:sz="8" w:color="47829E"/>
            </w:tcBorders>
            <w:shd w:val="clear" w:color="auto" w:fill="E3ECF0"/>
          </w:tcPr>
          <w:p>
            <w:pPr>
              <w:jc w:val="right"/>
              <w:ind w:right="3"/>
              <w:spacing w:after="0" w:line="149" w:lineRule="exact"/>
              <w:rPr>
                <w:sz w:val="20"/>
                <w:szCs w:val="20"/>
                <w:color w:val="auto"/>
              </w:rPr>
            </w:pPr>
            <w:r>
              <w:rPr>
                <w:rFonts w:ascii="Arial" w:cs="Arial" w:eastAsia="Arial" w:hAnsi="Arial"/>
                <w:sz w:val="11"/>
                <w:szCs w:val="11"/>
                <w:color w:val="auto"/>
              </w:rPr>
              <w:t>733</w:t>
            </w:r>
            <w:r>
              <w:rPr>
                <w:rFonts w:ascii="Arial" w:cs="Arial" w:eastAsia="Arial" w:hAnsi="Arial"/>
                <w:sz w:val="17"/>
                <w:szCs w:val="17"/>
                <w:color w:val="auto"/>
                <w:vertAlign w:val="superscript"/>
              </w:rPr>
              <w:t>12</w:t>
            </w:r>
          </w:p>
        </w:tc>
        <w:tc>
          <w:tcPr>
            <w:tcW w:w="112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80,865</w:t>
            </w:r>
          </w:p>
        </w:tc>
        <w:tc>
          <w:tcPr>
            <w:tcW w:w="1180" w:type="dxa"/>
            <w:vAlign w:val="bottom"/>
            <w:tcBorders>
              <w:right w:val="single" w:sz="8" w:color="47829E"/>
            </w:tcBorders>
            <w:shd w:val="clear" w:color="auto" w:fill="E3ECF0"/>
          </w:tcPr>
          <w:p>
            <w:pPr>
              <w:spacing w:after="0"/>
              <w:rPr>
                <w:sz w:val="12"/>
                <w:szCs w:val="12"/>
                <w:color w:val="auto"/>
              </w:rPr>
            </w:pPr>
          </w:p>
        </w:tc>
        <w:tc>
          <w:tcPr>
            <w:tcW w:w="1240" w:type="dxa"/>
            <w:vAlign w:val="bottom"/>
            <w:tcBorders>
              <w:right w:val="single" w:sz="8" w:color="47829E"/>
            </w:tcBorders>
            <w:shd w:val="clear" w:color="auto" w:fill="E3ECF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shd w:val="clear" w:color="auto" w:fill="E3ECF0"/>
          </w:tcPr>
          <w:p>
            <w:pPr>
              <w:spacing w:after="0"/>
              <w:rPr>
                <w:sz w:val="12"/>
                <w:szCs w:val="12"/>
                <w:color w:val="auto"/>
              </w:rPr>
            </w:pPr>
          </w:p>
        </w:tc>
        <w:tc>
          <w:tcPr>
            <w:tcW w:w="110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1,226</w:t>
            </w:r>
          </w:p>
        </w:tc>
        <w:tc>
          <w:tcPr>
            <w:tcW w:w="1280" w:type="dxa"/>
            <w:vAlign w:val="bottom"/>
            <w:tcBorders>
              <w:right w:val="single" w:sz="8" w:color="47829E"/>
            </w:tcBorders>
            <w:shd w:val="clear" w:color="auto" w:fill="E3ECF0"/>
          </w:tcPr>
          <w:p>
            <w:pPr>
              <w:jc w:val="right"/>
              <w:spacing w:after="0" w:line="149" w:lineRule="exact"/>
              <w:rPr>
                <w:sz w:val="20"/>
                <w:szCs w:val="20"/>
                <w:color w:val="auto"/>
              </w:rPr>
            </w:pPr>
            <w:r>
              <w:rPr>
                <w:rFonts w:ascii="Arial" w:cs="Arial" w:eastAsia="Arial" w:hAnsi="Arial"/>
                <w:sz w:val="11"/>
                <w:szCs w:val="11"/>
                <w:color w:val="auto"/>
              </w:rPr>
              <w:t>3,679</w:t>
            </w:r>
            <w:r>
              <w:rPr>
                <w:rFonts w:ascii="Arial" w:cs="Arial" w:eastAsia="Arial" w:hAnsi="Arial"/>
                <w:sz w:val="17"/>
                <w:szCs w:val="17"/>
                <w:color w:val="auto"/>
                <w:vertAlign w:val="superscript"/>
              </w:rPr>
              <w:t>5</w:t>
            </w:r>
          </w:p>
        </w:tc>
        <w:tc>
          <w:tcPr>
            <w:tcW w:w="1080" w:type="dxa"/>
            <w:vAlign w:val="bottom"/>
            <w:tcBorders>
              <w:right w:val="single" w:sz="8" w:color="47829E"/>
            </w:tcBorders>
            <w:shd w:val="clear" w:color="auto" w:fill="E3ECF0"/>
          </w:tcPr>
          <w:p>
            <w:pPr>
              <w:spacing w:after="0"/>
              <w:rPr>
                <w:sz w:val="12"/>
                <w:szCs w:val="12"/>
                <w:color w:val="auto"/>
              </w:rPr>
            </w:pPr>
          </w:p>
        </w:tc>
        <w:tc>
          <w:tcPr>
            <w:tcW w:w="92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108.24</w:t>
            </w:r>
          </w:p>
        </w:tc>
        <w:tc>
          <w:tcPr>
            <w:tcW w:w="960" w:type="dxa"/>
            <w:vAlign w:val="bottom"/>
            <w:tcBorders>
              <w:right w:val="single" w:sz="8" w:color="47829E"/>
            </w:tcBorders>
            <w:shd w:val="clear" w:color="auto" w:fill="E3ECF0"/>
          </w:tcPr>
          <w:p>
            <w:pPr>
              <w:ind w:left="260"/>
              <w:spacing w:after="0" w:line="149" w:lineRule="exact"/>
              <w:rPr>
                <w:sz w:val="20"/>
                <w:szCs w:val="20"/>
                <w:color w:val="auto"/>
              </w:rPr>
            </w:pPr>
            <w:r>
              <w:rPr>
                <w:rFonts w:ascii="Arial" w:cs="Arial" w:eastAsia="Arial" w:hAnsi="Arial"/>
                <w:sz w:val="14"/>
                <w:szCs w:val="14"/>
                <w:color w:val="auto"/>
              </w:rPr>
              <w:t>5/23/2023</w:t>
            </w:r>
          </w:p>
        </w:tc>
        <w:tc>
          <w:tcPr>
            <w:tcW w:w="1140" w:type="dxa"/>
            <w:vAlign w:val="bottom"/>
            <w:tcBorders>
              <w:right w:val="single" w:sz="8" w:color="47829E"/>
            </w:tcBorders>
            <w:shd w:val="clear" w:color="auto" w:fill="E3ECF0"/>
          </w:tcPr>
          <w:p>
            <w:pPr>
              <w:jc w:val="right"/>
              <w:ind w:right="3"/>
              <w:spacing w:after="0" w:line="149" w:lineRule="exact"/>
              <w:rPr>
                <w:sz w:val="20"/>
                <w:szCs w:val="20"/>
                <w:color w:val="auto"/>
              </w:rPr>
            </w:pPr>
            <w:r>
              <w:rPr>
                <w:rFonts w:ascii="Arial" w:cs="Arial" w:eastAsia="Arial" w:hAnsi="Arial"/>
                <w:sz w:val="11"/>
                <w:szCs w:val="11"/>
                <w:color w:val="auto"/>
              </w:rPr>
              <w:t>937</w:t>
            </w:r>
            <w:r>
              <w:rPr>
                <w:rFonts w:ascii="Arial" w:cs="Arial" w:eastAsia="Arial" w:hAnsi="Arial"/>
                <w:sz w:val="17"/>
                <w:szCs w:val="17"/>
                <w:color w:val="auto"/>
                <w:vertAlign w:val="superscript"/>
              </w:rPr>
              <w:t>13</w:t>
            </w:r>
          </w:p>
        </w:tc>
        <w:tc>
          <w:tcPr>
            <w:tcW w:w="112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103,370</w:t>
            </w:r>
          </w:p>
        </w:tc>
        <w:tc>
          <w:tcPr>
            <w:tcW w:w="1180" w:type="dxa"/>
            <w:vAlign w:val="bottom"/>
            <w:tcBorders>
              <w:right w:val="single" w:sz="8" w:color="47829E"/>
            </w:tcBorders>
            <w:shd w:val="clear" w:color="auto" w:fill="E3ECF0"/>
          </w:tcPr>
          <w:p>
            <w:pPr>
              <w:spacing w:after="0"/>
              <w:rPr>
                <w:sz w:val="12"/>
                <w:szCs w:val="12"/>
                <w:color w:val="auto"/>
              </w:rPr>
            </w:pPr>
          </w:p>
        </w:tc>
        <w:tc>
          <w:tcPr>
            <w:tcW w:w="1240" w:type="dxa"/>
            <w:vAlign w:val="bottom"/>
            <w:tcBorders>
              <w:right w:val="single" w:sz="8" w:color="47829E"/>
            </w:tcBorders>
            <w:shd w:val="clear" w:color="auto" w:fill="E3ECF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tcBorders>
              <w:left w:val="single" w:sz="8" w:color="47829E"/>
              <w:right w:val="single" w:sz="8" w:color="47829E"/>
            </w:tcBorders>
            <w:shd w:val="clear" w:color="auto" w:fill="E3ECF0"/>
          </w:tcPr>
          <w:p>
            <w:pPr>
              <w:spacing w:after="0"/>
              <w:rPr>
                <w:sz w:val="16"/>
                <w:szCs w:val="16"/>
                <w:color w:val="auto"/>
              </w:rPr>
            </w:pPr>
          </w:p>
        </w:tc>
        <w:tc>
          <w:tcPr>
            <w:tcW w:w="1100" w:type="dxa"/>
            <w:vAlign w:val="bottom"/>
            <w:tcBorders>
              <w:right w:val="single" w:sz="8" w:color="47829E"/>
            </w:tcBorders>
            <w:shd w:val="clear" w:color="auto" w:fill="E3ECF0"/>
          </w:tcPr>
          <w:p>
            <w:pPr>
              <w:jc w:val="right"/>
              <w:ind w:right="32"/>
              <w:spacing w:after="0"/>
              <w:rPr>
                <w:sz w:val="20"/>
                <w:szCs w:val="20"/>
                <w:color w:val="auto"/>
              </w:rPr>
            </w:pPr>
            <w:r>
              <w:rPr>
                <w:rFonts w:ascii="Arial" w:cs="Arial" w:eastAsia="Arial" w:hAnsi="Arial"/>
                <w:sz w:val="14"/>
                <w:szCs w:val="14"/>
                <w:color w:val="auto"/>
              </w:rPr>
              <w:t>0</w:t>
            </w:r>
          </w:p>
        </w:tc>
        <w:tc>
          <w:tcPr>
            <w:tcW w:w="1280" w:type="dxa"/>
            <w:vAlign w:val="bottom"/>
            <w:tcBorders>
              <w:right w:val="single" w:sz="8" w:color="47829E"/>
            </w:tcBorders>
            <w:shd w:val="clear" w:color="auto" w:fill="E3ECF0"/>
          </w:tcPr>
          <w:p>
            <w:pPr>
              <w:jc w:val="right"/>
              <w:spacing w:after="0" w:line="189" w:lineRule="exact"/>
              <w:rPr>
                <w:sz w:val="20"/>
                <w:szCs w:val="20"/>
                <w:color w:val="auto"/>
              </w:rPr>
            </w:pPr>
            <w:r>
              <w:rPr>
                <w:rFonts w:ascii="Arial" w:cs="Arial" w:eastAsia="Arial" w:hAnsi="Arial"/>
                <w:sz w:val="13"/>
                <w:szCs w:val="13"/>
                <w:color w:val="auto"/>
              </w:rPr>
              <w:t>4,604</w:t>
            </w:r>
            <w:r>
              <w:rPr>
                <w:rFonts w:ascii="Arial" w:cs="Arial" w:eastAsia="Arial" w:hAnsi="Arial"/>
                <w:sz w:val="21"/>
                <w:szCs w:val="21"/>
                <w:color w:val="auto"/>
                <w:vertAlign w:val="superscript"/>
              </w:rPr>
              <w:t>6</w:t>
            </w:r>
          </w:p>
        </w:tc>
        <w:tc>
          <w:tcPr>
            <w:tcW w:w="1080" w:type="dxa"/>
            <w:vAlign w:val="bottom"/>
            <w:tcBorders>
              <w:right w:val="single" w:sz="8" w:color="47829E"/>
            </w:tcBorders>
            <w:shd w:val="clear" w:color="auto" w:fill="E3ECF0"/>
          </w:tcPr>
          <w:p>
            <w:pPr>
              <w:spacing w:after="0"/>
              <w:rPr>
                <w:sz w:val="16"/>
                <w:szCs w:val="16"/>
                <w:color w:val="auto"/>
              </w:rPr>
            </w:pPr>
          </w:p>
        </w:tc>
        <w:tc>
          <w:tcPr>
            <w:tcW w:w="920" w:type="dxa"/>
            <w:vAlign w:val="bottom"/>
            <w:tcBorders>
              <w:right w:val="single" w:sz="8" w:color="47829E"/>
            </w:tcBorders>
            <w:shd w:val="clear" w:color="auto" w:fill="E3ECF0"/>
          </w:tcPr>
          <w:p>
            <w:pPr>
              <w:jc w:val="right"/>
              <w:ind w:right="32"/>
              <w:spacing w:after="0"/>
              <w:rPr>
                <w:sz w:val="20"/>
                <w:szCs w:val="20"/>
                <w:color w:val="auto"/>
              </w:rPr>
            </w:pPr>
            <w:r>
              <w:rPr>
                <w:rFonts w:ascii="Arial" w:cs="Arial" w:eastAsia="Arial" w:hAnsi="Arial"/>
                <w:sz w:val="14"/>
                <w:szCs w:val="14"/>
                <w:color w:val="auto"/>
              </w:rPr>
              <w:t>121.00</w:t>
            </w:r>
          </w:p>
        </w:tc>
        <w:tc>
          <w:tcPr>
            <w:tcW w:w="960" w:type="dxa"/>
            <w:vAlign w:val="bottom"/>
            <w:tcBorders>
              <w:right w:val="single" w:sz="8" w:color="47829E"/>
            </w:tcBorders>
            <w:shd w:val="clear" w:color="auto" w:fill="E3ECF0"/>
          </w:tcPr>
          <w:p>
            <w:pPr>
              <w:ind w:left="260"/>
              <w:spacing w:after="0"/>
              <w:rPr>
                <w:sz w:val="20"/>
                <w:szCs w:val="20"/>
                <w:color w:val="auto"/>
              </w:rPr>
            </w:pPr>
            <w:r>
              <w:rPr>
                <w:rFonts w:ascii="Arial" w:cs="Arial" w:eastAsia="Arial" w:hAnsi="Arial"/>
                <w:sz w:val="14"/>
                <w:szCs w:val="14"/>
                <w:color w:val="auto"/>
              </w:rPr>
              <w:t>5/22/2024</w:t>
            </w:r>
          </w:p>
        </w:tc>
        <w:tc>
          <w:tcPr>
            <w:tcW w:w="1140" w:type="dxa"/>
            <w:vAlign w:val="bottom"/>
            <w:tcBorders>
              <w:right w:val="single" w:sz="8" w:color="47829E"/>
            </w:tcBorders>
            <w:shd w:val="clear" w:color="auto" w:fill="E3ECF0"/>
          </w:tcPr>
          <w:p>
            <w:pPr>
              <w:spacing w:after="0"/>
              <w:rPr>
                <w:sz w:val="16"/>
                <w:szCs w:val="16"/>
                <w:color w:val="auto"/>
              </w:rPr>
            </w:pPr>
          </w:p>
        </w:tc>
        <w:tc>
          <w:tcPr>
            <w:tcW w:w="1120" w:type="dxa"/>
            <w:vAlign w:val="bottom"/>
            <w:tcBorders>
              <w:right w:val="single" w:sz="8" w:color="47829E"/>
            </w:tcBorders>
            <w:shd w:val="clear" w:color="auto" w:fill="E3ECF0"/>
          </w:tcPr>
          <w:p>
            <w:pPr>
              <w:spacing w:after="0"/>
              <w:rPr>
                <w:sz w:val="16"/>
                <w:szCs w:val="16"/>
                <w:color w:val="auto"/>
              </w:rPr>
            </w:pPr>
          </w:p>
        </w:tc>
        <w:tc>
          <w:tcPr>
            <w:tcW w:w="1180" w:type="dxa"/>
            <w:vAlign w:val="bottom"/>
            <w:tcBorders>
              <w:right w:val="single" w:sz="8" w:color="47829E"/>
            </w:tcBorders>
            <w:shd w:val="clear" w:color="auto" w:fill="E3ECF0"/>
          </w:tcPr>
          <w:p>
            <w:pPr>
              <w:spacing w:after="0"/>
              <w:rPr>
                <w:sz w:val="16"/>
                <w:szCs w:val="16"/>
                <w:color w:val="auto"/>
              </w:rPr>
            </w:pPr>
          </w:p>
        </w:tc>
        <w:tc>
          <w:tcPr>
            <w:tcW w:w="1240" w:type="dxa"/>
            <w:vAlign w:val="bottom"/>
            <w:tcBorders>
              <w:right w:val="single" w:sz="8" w:color="47829E"/>
            </w:tcBorders>
            <w:shd w:val="clear" w:color="auto" w:fill="E3ECF0"/>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420" w:type="dxa"/>
            <w:vAlign w:val="bottom"/>
            <w:tcBorders>
              <w:left w:val="single" w:sz="8" w:color="47829E"/>
              <w:right w:val="single" w:sz="8" w:color="47829E"/>
            </w:tcBorders>
          </w:tcPr>
          <w:p>
            <w:pPr>
              <w:ind w:left="120"/>
              <w:spacing w:after="0" w:line="122" w:lineRule="exact"/>
              <w:rPr>
                <w:sz w:val="20"/>
                <w:szCs w:val="20"/>
                <w:color w:val="auto"/>
              </w:rPr>
            </w:pPr>
            <w:r>
              <w:rPr>
                <w:rFonts w:ascii="Arial" w:cs="Arial" w:eastAsia="Arial" w:hAnsi="Arial"/>
                <w:sz w:val="14"/>
                <w:szCs w:val="14"/>
                <w:b w:val="1"/>
                <w:bCs w:val="1"/>
                <w:color w:val="auto"/>
              </w:rPr>
              <w:t>Roselyn R. Bar</w:t>
            </w:r>
          </w:p>
        </w:tc>
        <w:tc>
          <w:tcPr>
            <w:tcW w:w="1100" w:type="dxa"/>
            <w:vAlign w:val="bottom"/>
            <w:tcBorders>
              <w:right w:val="single" w:sz="8" w:color="47829E"/>
            </w:tcBorders>
          </w:tcPr>
          <w:p>
            <w:pPr>
              <w:jc w:val="right"/>
              <w:ind w:right="32"/>
              <w:spacing w:after="0" w:line="122" w:lineRule="exact"/>
              <w:rPr>
                <w:sz w:val="20"/>
                <w:szCs w:val="20"/>
                <w:color w:val="auto"/>
              </w:rPr>
            </w:pPr>
            <w:r>
              <w:rPr>
                <w:rFonts w:ascii="Arial" w:cs="Arial" w:eastAsia="Arial" w:hAnsi="Arial"/>
                <w:sz w:val="14"/>
                <w:szCs w:val="14"/>
                <w:color w:val="auto"/>
              </w:rPr>
              <w:t>7,021</w:t>
            </w:r>
          </w:p>
        </w:tc>
        <w:tc>
          <w:tcPr>
            <w:tcW w:w="1280" w:type="dxa"/>
            <w:vAlign w:val="bottom"/>
            <w:tcBorders>
              <w:right w:val="single" w:sz="8" w:color="47829E"/>
            </w:tcBorders>
          </w:tcPr>
          <w:p>
            <w:pPr>
              <w:jc w:val="right"/>
              <w:ind w:right="57"/>
              <w:spacing w:after="0" w:line="122" w:lineRule="exact"/>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tcPr>
          <w:p>
            <w:pPr>
              <w:spacing w:after="0"/>
              <w:rPr>
                <w:sz w:val="10"/>
                <w:szCs w:val="10"/>
                <w:color w:val="auto"/>
              </w:rPr>
            </w:pPr>
          </w:p>
        </w:tc>
        <w:tc>
          <w:tcPr>
            <w:tcW w:w="920" w:type="dxa"/>
            <w:vAlign w:val="bottom"/>
            <w:tcBorders>
              <w:right w:val="single" w:sz="8" w:color="47829E"/>
            </w:tcBorders>
          </w:tcPr>
          <w:p>
            <w:pPr>
              <w:jc w:val="right"/>
              <w:ind w:right="32"/>
              <w:spacing w:after="0" w:line="122" w:lineRule="exact"/>
              <w:rPr>
                <w:sz w:val="20"/>
                <w:szCs w:val="20"/>
                <w:color w:val="auto"/>
              </w:rPr>
            </w:pPr>
            <w:r>
              <w:rPr>
                <w:rFonts w:ascii="Arial" w:cs="Arial" w:eastAsia="Arial" w:hAnsi="Arial"/>
                <w:sz w:val="14"/>
                <w:szCs w:val="14"/>
                <w:color w:val="auto"/>
              </w:rPr>
              <w:t>151.92</w:t>
            </w:r>
          </w:p>
        </w:tc>
        <w:tc>
          <w:tcPr>
            <w:tcW w:w="960" w:type="dxa"/>
            <w:vAlign w:val="bottom"/>
            <w:tcBorders>
              <w:right w:val="single" w:sz="8" w:color="47829E"/>
            </w:tcBorders>
          </w:tcPr>
          <w:p>
            <w:pPr>
              <w:ind w:left="260"/>
              <w:spacing w:after="0" w:line="122" w:lineRule="exact"/>
              <w:rPr>
                <w:sz w:val="20"/>
                <w:szCs w:val="20"/>
                <w:color w:val="auto"/>
              </w:rPr>
            </w:pPr>
            <w:r>
              <w:rPr>
                <w:rFonts w:ascii="Arial" w:cs="Arial" w:eastAsia="Arial" w:hAnsi="Arial"/>
                <w:sz w:val="14"/>
                <w:szCs w:val="14"/>
                <w:color w:val="auto"/>
              </w:rPr>
              <w:t>5/22/2015</w:t>
            </w:r>
          </w:p>
        </w:tc>
        <w:tc>
          <w:tcPr>
            <w:tcW w:w="1140" w:type="dxa"/>
            <w:vAlign w:val="bottom"/>
            <w:tcBorders>
              <w:right w:val="single" w:sz="8" w:color="47829E"/>
            </w:tcBorders>
          </w:tcPr>
          <w:p>
            <w:pPr>
              <w:ind w:left="600"/>
              <w:spacing w:after="0" w:line="122" w:lineRule="exact"/>
              <w:rPr>
                <w:sz w:val="20"/>
                <w:szCs w:val="20"/>
                <w:color w:val="auto"/>
              </w:rPr>
            </w:pPr>
            <w:r>
              <w:rPr>
                <w:rFonts w:ascii="Arial" w:cs="Arial" w:eastAsia="Arial" w:hAnsi="Arial"/>
                <w:sz w:val="10"/>
                <w:szCs w:val="10"/>
                <w:color w:val="auto"/>
              </w:rPr>
              <w:t>1,745</w:t>
            </w:r>
            <w:r>
              <w:rPr>
                <w:rFonts w:ascii="Arial" w:cs="Arial" w:eastAsia="Arial" w:hAnsi="Arial"/>
                <w:sz w:val="14"/>
                <w:szCs w:val="14"/>
                <w:color w:val="auto"/>
                <w:vertAlign w:val="superscript"/>
              </w:rPr>
              <w:t>7</w:t>
            </w:r>
          </w:p>
        </w:tc>
        <w:tc>
          <w:tcPr>
            <w:tcW w:w="1120" w:type="dxa"/>
            <w:vAlign w:val="bottom"/>
            <w:tcBorders>
              <w:right w:val="single" w:sz="8" w:color="47829E"/>
            </w:tcBorders>
          </w:tcPr>
          <w:p>
            <w:pPr>
              <w:jc w:val="right"/>
              <w:ind w:right="33"/>
              <w:spacing w:after="0" w:line="122" w:lineRule="exact"/>
              <w:rPr>
                <w:sz w:val="20"/>
                <w:szCs w:val="20"/>
                <w:color w:val="auto"/>
              </w:rPr>
            </w:pPr>
            <w:r>
              <w:rPr>
                <w:rFonts w:ascii="Arial" w:cs="Arial" w:eastAsia="Arial" w:hAnsi="Arial"/>
                <w:sz w:val="14"/>
                <w:szCs w:val="14"/>
                <w:color w:val="auto"/>
              </w:rPr>
              <w:t>192,508</w:t>
            </w:r>
          </w:p>
        </w:tc>
        <w:tc>
          <w:tcPr>
            <w:tcW w:w="1180" w:type="dxa"/>
            <w:vAlign w:val="bottom"/>
            <w:tcBorders>
              <w:right w:val="single" w:sz="8" w:color="47829E"/>
            </w:tcBorders>
          </w:tcPr>
          <w:p>
            <w:pPr>
              <w:jc w:val="right"/>
              <w:ind w:right="32"/>
              <w:spacing w:after="0" w:line="122" w:lineRule="exact"/>
              <w:rPr>
                <w:sz w:val="20"/>
                <w:szCs w:val="20"/>
                <w:color w:val="auto"/>
              </w:rPr>
            </w:pPr>
            <w:r>
              <w:rPr>
                <w:rFonts w:ascii="Arial" w:cs="Arial" w:eastAsia="Arial" w:hAnsi="Arial"/>
                <w:sz w:val="14"/>
                <w:szCs w:val="14"/>
                <w:color w:val="auto"/>
              </w:rPr>
              <w:t>661</w:t>
            </w:r>
          </w:p>
        </w:tc>
        <w:tc>
          <w:tcPr>
            <w:tcW w:w="1240" w:type="dxa"/>
            <w:vAlign w:val="bottom"/>
            <w:tcBorders>
              <w:right w:val="single" w:sz="8" w:color="47829E"/>
            </w:tcBorders>
          </w:tcPr>
          <w:p>
            <w:pPr>
              <w:jc w:val="right"/>
              <w:ind w:right="132"/>
              <w:spacing w:after="0" w:line="122" w:lineRule="exact"/>
              <w:rPr>
                <w:sz w:val="20"/>
                <w:szCs w:val="20"/>
                <w:color w:val="auto"/>
              </w:rPr>
            </w:pPr>
            <w:r>
              <w:rPr>
                <w:rFonts w:ascii="Arial" w:cs="Arial" w:eastAsia="Arial" w:hAnsi="Arial"/>
                <w:sz w:val="14"/>
                <w:szCs w:val="14"/>
                <w:color w:val="auto"/>
              </w:rPr>
              <w:t>72,922</w:t>
            </w: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tcPr>
          <w:p>
            <w:pPr>
              <w:spacing w:after="0"/>
              <w:rPr>
                <w:sz w:val="12"/>
                <w:szCs w:val="12"/>
                <w:color w:val="auto"/>
              </w:rPr>
            </w:pPr>
          </w:p>
        </w:tc>
        <w:tc>
          <w:tcPr>
            <w:tcW w:w="110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8,377</w:t>
            </w:r>
          </w:p>
        </w:tc>
        <w:tc>
          <w:tcPr>
            <w:tcW w:w="1280" w:type="dxa"/>
            <w:vAlign w:val="bottom"/>
            <w:tcBorders>
              <w:right w:val="single" w:sz="8" w:color="47829E"/>
            </w:tcBorders>
          </w:tcPr>
          <w:p>
            <w:pPr>
              <w:jc w:val="right"/>
              <w:ind w:right="57"/>
              <w:spacing w:after="0" w:line="149" w:lineRule="exact"/>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117.77</w:t>
            </w:r>
          </w:p>
        </w:tc>
        <w:tc>
          <w:tcPr>
            <w:tcW w:w="960" w:type="dxa"/>
            <w:vAlign w:val="bottom"/>
            <w:tcBorders>
              <w:right w:val="single" w:sz="8" w:color="47829E"/>
            </w:tcBorders>
          </w:tcPr>
          <w:p>
            <w:pPr>
              <w:ind w:left="260"/>
              <w:spacing w:after="0" w:line="149" w:lineRule="exact"/>
              <w:rPr>
                <w:sz w:val="20"/>
                <w:szCs w:val="20"/>
                <w:color w:val="auto"/>
              </w:rPr>
            </w:pPr>
            <w:r>
              <w:rPr>
                <w:rFonts w:ascii="Arial" w:cs="Arial" w:eastAsia="Arial" w:hAnsi="Arial"/>
                <w:sz w:val="14"/>
                <w:szCs w:val="14"/>
                <w:color w:val="auto"/>
              </w:rPr>
              <w:t>5/28/2016</w:t>
            </w:r>
          </w:p>
        </w:tc>
        <w:tc>
          <w:tcPr>
            <w:tcW w:w="1140" w:type="dxa"/>
            <w:vAlign w:val="bottom"/>
            <w:tcBorders>
              <w:right w:val="single" w:sz="8" w:color="47829E"/>
            </w:tcBorders>
          </w:tcPr>
          <w:p>
            <w:pPr>
              <w:ind w:left="600"/>
              <w:spacing w:after="0" w:line="149" w:lineRule="exact"/>
              <w:rPr>
                <w:sz w:val="20"/>
                <w:szCs w:val="20"/>
                <w:color w:val="auto"/>
              </w:rPr>
            </w:pPr>
            <w:r>
              <w:rPr>
                <w:rFonts w:ascii="Arial" w:cs="Arial" w:eastAsia="Arial" w:hAnsi="Arial"/>
                <w:sz w:val="11"/>
                <w:szCs w:val="11"/>
                <w:color w:val="auto"/>
              </w:rPr>
              <w:t>2,257</w:t>
            </w:r>
            <w:r>
              <w:rPr>
                <w:rFonts w:ascii="Arial" w:cs="Arial" w:eastAsia="Arial" w:hAnsi="Arial"/>
                <w:sz w:val="17"/>
                <w:szCs w:val="17"/>
                <w:color w:val="auto"/>
                <w:vertAlign w:val="superscript"/>
              </w:rPr>
              <w:t>8</w:t>
            </w:r>
          </w:p>
        </w:tc>
        <w:tc>
          <w:tcPr>
            <w:tcW w:w="112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248,992</w:t>
            </w:r>
          </w:p>
        </w:tc>
        <w:tc>
          <w:tcPr>
            <w:tcW w:w="1180" w:type="dxa"/>
            <w:vAlign w:val="bottom"/>
            <w:tcBorders>
              <w:right w:val="single" w:sz="8" w:color="47829E"/>
            </w:tcBorders>
          </w:tcPr>
          <w:p>
            <w:pPr>
              <w:spacing w:after="0"/>
              <w:rPr>
                <w:sz w:val="12"/>
                <w:szCs w:val="12"/>
                <w:color w:val="auto"/>
              </w:rPr>
            </w:pPr>
          </w:p>
        </w:tc>
        <w:tc>
          <w:tcPr>
            <w:tcW w:w="12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tcPr>
          <w:p>
            <w:pPr>
              <w:spacing w:after="0"/>
              <w:rPr>
                <w:sz w:val="12"/>
                <w:szCs w:val="12"/>
                <w:color w:val="auto"/>
              </w:rPr>
            </w:pPr>
          </w:p>
        </w:tc>
        <w:tc>
          <w:tcPr>
            <w:tcW w:w="110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7,394</w:t>
            </w:r>
          </w:p>
        </w:tc>
        <w:tc>
          <w:tcPr>
            <w:tcW w:w="1280" w:type="dxa"/>
            <w:vAlign w:val="bottom"/>
            <w:tcBorders>
              <w:right w:val="single" w:sz="8" w:color="47829E"/>
            </w:tcBorders>
          </w:tcPr>
          <w:p>
            <w:pPr>
              <w:jc w:val="right"/>
              <w:ind w:right="57"/>
              <w:spacing w:after="0" w:line="149" w:lineRule="exact"/>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79.79</w:t>
            </w:r>
          </w:p>
        </w:tc>
        <w:tc>
          <w:tcPr>
            <w:tcW w:w="960" w:type="dxa"/>
            <w:vAlign w:val="bottom"/>
            <w:tcBorders>
              <w:right w:val="single" w:sz="8" w:color="47829E"/>
            </w:tcBorders>
          </w:tcPr>
          <w:p>
            <w:pPr>
              <w:ind w:left="260"/>
              <w:spacing w:after="0" w:line="149" w:lineRule="exact"/>
              <w:rPr>
                <w:sz w:val="20"/>
                <w:szCs w:val="20"/>
                <w:color w:val="auto"/>
              </w:rPr>
            </w:pPr>
            <w:r>
              <w:rPr>
                <w:rFonts w:ascii="Arial" w:cs="Arial" w:eastAsia="Arial" w:hAnsi="Arial"/>
                <w:sz w:val="14"/>
                <w:szCs w:val="14"/>
                <w:color w:val="auto"/>
              </w:rPr>
              <w:t>5/27/2017</w:t>
            </w:r>
          </w:p>
        </w:tc>
        <w:tc>
          <w:tcPr>
            <w:tcW w:w="1140" w:type="dxa"/>
            <w:vAlign w:val="bottom"/>
            <w:tcBorders>
              <w:right w:val="single" w:sz="8" w:color="47829E"/>
            </w:tcBorders>
          </w:tcPr>
          <w:p>
            <w:pPr>
              <w:ind w:left="600"/>
              <w:spacing w:after="0" w:line="149" w:lineRule="exact"/>
              <w:rPr>
                <w:sz w:val="20"/>
                <w:szCs w:val="20"/>
                <w:color w:val="auto"/>
              </w:rPr>
            </w:pPr>
            <w:r>
              <w:rPr>
                <w:rFonts w:ascii="Arial" w:cs="Arial" w:eastAsia="Arial" w:hAnsi="Arial"/>
                <w:sz w:val="11"/>
                <w:szCs w:val="11"/>
                <w:color w:val="auto"/>
              </w:rPr>
              <w:t>2,002</w:t>
            </w:r>
            <w:r>
              <w:rPr>
                <w:rFonts w:ascii="Arial" w:cs="Arial" w:eastAsia="Arial" w:hAnsi="Arial"/>
                <w:sz w:val="17"/>
                <w:szCs w:val="17"/>
                <w:color w:val="auto"/>
                <w:vertAlign w:val="superscript"/>
              </w:rPr>
              <w:t>9</w:t>
            </w:r>
          </w:p>
        </w:tc>
        <w:tc>
          <w:tcPr>
            <w:tcW w:w="112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220,861</w:t>
            </w:r>
          </w:p>
        </w:tc>
        <w:tc>
          <w:tcPr>
            <w:tcW w:w="1180" w:type="dxa"/>
            <w:vAlign w:val="bottom"/>
            <w:tcBorders>
              <w:right w:val="single" w:sz="8" w:color="47829E"/>
            </w:tcBorders>
          </w:tcPr>
          <w:p>
            <w:pPr>
              <w:spacing w:after="0"/>
              <w:rPr>
                <w:sz w:val="12"/>
                <w:szCs w:val="12"/>
                <w:color w:val="auto"/>
              </w:rPr>
            </w:pPr>
          </w:p>
        </w:tc>
        <w:tc>
          <w:tcPr>
            <w:tcW w:w="12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tcPr>
          <w:p>
            <w:pPr>
              <w:spacing w:after="0"/>
              <w:rPr>
                <w:sz w:val="12"/>
                <w:szCs w:val="12"/>
                <w:color w:val="auto"/>
              </w:rPr>
            </w:pPr>
          </w:p>
        </w:tc>
        <w:tc>
          <w:tcPr>
            <w:tcW w:w="110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3,096</w:t>
            </w:r>
          </w:p>
        </w:tc>
        <w:tc>
          <w:tcPr>
            <w:tcW w:w="1280" w:type="dxa"/>
            <w:vAlign w:val="bottom"/>
            <w:tcBorders>
              <w:right w:val="single" w:sz="8" w:color="47829E"/>
            </w:tcBorders>
          </w:tcPr>
          <w:p>
            <w:pPr>
              <w:jc w:val="right"/>
              <w:ind w:right="57"/>
              <w:spacing w:after="0" w:line="149" w:lineRule="exact"/>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95.27</w:t>
            </w:r>
          </w:p>
        </w:tc>
        <w:tc>
          <w:tcPr>
            <w:tcW w:w="960" w:type="dxa"/>
            <w:vAlign w:val="bottom"/>
            <w:tcBorders>
              <w:right w:val="single" w:sz="8" w:color="47829E"/>
            </w:tcBorders>
          </w:tcPr>
          <w:p>
            <w:pPr>
              <w:ind w:left="260"/>
              <w:spacing w:after="0" w:line="149" w:lineRule="exact"/>
              <w:rPr>
                <w:sz w:val="20"/>
                <w:szCs w:val="20"/>
                <w:color w:val="auto"/>
              </w:rPr>
            </w:pPr>
            <w:r>
              <w:rPr>
                <w:rFonts w:ascii="Arial" w:cs="Arial" w:eastAsia="Arial" w:hAnsi="Arial"/>
                <w:sz w:val="14"/>
                <w:szCs w:val="14"/>
                <w:color w:val="auto"/>
              </w:rPr>
              <w:t>5/27/2018</w:t>
            </w:r>
          </w:p>
        </w:tc>
        <w:tc>
          <w:tcPr>
            <w:tcW w:w="1140" w:type="dxa"/>
            <w:vAlign w:val="bottom"/>
            <w:tcBorders>
              <w:right w:val="single" w:sz="8" w:color="47829E"/>
            </w:tcBorders>
          </w:tcPr>
          <w:p>
            <w:pPr>
              <w:ind w:left="600"/>
              <w:spacing w:after="0" w:line="149" w:lineRule="exact"/>
              <w:rPr>
                <w:sz w:val="20"/>
                <w:szCs w:val="20"/>
                <w:color w:val="auto"/>
              </w:rPr>
            </w:pPr>
            <w:r>
              <w:rPr>
                <w:rFonts w:ascii="Arial" w:cs="Arial" w:eastAsia="Arial" w:hAnsi="Arial"/>
                <w:sz w:val="11"/>
                <w:szCs w:val="11"/>
                <w:color w:val="auto"/>
              </w:rPr>
              <w:t>1,879</w:t>
            </w:r>
            <w:r>
              <w:rPr>
                <w:rFonts w:ascii="Arial" w:cs="Arial" w:eastAsia="Arial" w:hAnsi="Arial"/>
                <w:sz w:val="17"/>
                <w:szCs w:val="17"/>
                <w:color w:val="auto"/>
                <w:vertAlign w:val="superscript"/>
              </w:rPr>
              <w:t>10</w:t>
            </w:r>
          </w:p>
        </w:tc>
        <w:tc>
          <w:tcPr>
            <w:tcW w:w="112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207,291</w:t>
            </w:r>
          </w:p>
        </w:tc>
        <w:tc>
          <w:tcPr>
            <w:tcW w:w="1180" w:type="dxa"/>
            <w:vAlign w:val="bottom"/>
            <w:tcBorders>
              <w:right w:val="single" w:sz="8" w:color="47829E"/>
            </w:tcBorders>
          </w:tcPr>
          <w:p>
            <w:pPr>
              <w:spacing w:after="0"/>
              <w:rPr>
                <w:sz w:val="12"/>
                <w:szCs w:val="12"/>
                <w:color w:val="auto"/>
              </w:rPr>
            </w:pPr>
          </w:p>
        </w:tc>
        <w:tc>
          <w:tcPr>
            <w:tcW w:w="12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tcPr>
          <w:p>
            <w:pPr>
              <w:spacing w:after="0"/>
              <w:rPr>
                <w:sz w:val="12"/>
                <w:szCs w:val="12"/>
                <w:color w:val="auto"/>
              </w:rPr>
            </w:pPr>
          </w:p>
        </w:tc>
        <w:tc>
          <w:tcPr>
            <w:tcW w:w="110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2,613</w:t>
            </w:r>
          </w:p>
        </w:tc>
        <w:tc>
          <w:tcPr>
            <w:tcW w:w="12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1"/>
                <w:szCs w:val="11"/>
                <w:color w:val="auto"/>
              </w:rPr>
              <w:t>872</w:t>
            </w:r>
            <w:r>
              <w:rPr>
                <w:rFonts w:ascii="Arial" w:cs="Arial" w:eastAsia="Arial" w:hAnsi="Arial"/>
                <w:sz w:val="17"/>
                <w:szCs w:val="17"/>
                <w:color w:val="auto"/>
                <w:vertAlign w:val="superscript"/>
              </w:rPr>
              <w:t>3</w:t>
            </w:r>
          </w:p>
        </w:tc>
        <w:tc>
          <w:tcPr>
            <w:tcW w:w="1080" w:type="dxa"/>
            <w:vAlign w:val="bottom"/>
            <w:tcBorders>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86.90</w:t>
            </w:r>
          </w:p>
        </w:tc>
        <w:tc>
          <w:tcPr>
            <w:tcW w:w="960" w:type="dxa"/>
            <w:vAlign w:val="bottom"/>
            <w:tcBorders>
              <w:right w:val="single" w:sz="8" w:color="47829E"/>
            </w:tcBorders>
          </w:tcPr>
          <w:p>
            <w:pPr>
              <w:ind w:left="260"/>
              <w:spacing w:after="0" w:line="149" w:lineRule="exact"/>
              <w:rPr>
                <w:sz w:val="20"/>
                <w:szCs w:val="20"/>
                <w:color w:val="auto"/>
              </w:rPr>
            </w:pPr>
            <w:r>
              <w:rPr>
                <w:rFonts w:ascii="Arial" w:cs="Arial" w:eastAsia="Arial" w:hAnsi="Arial"/>
                <w:sz w:val="14"/>
                <w:szCs w:val="14"/>
                <w:color w:val="auto"/>
              </w:rPr>
              <w:t>5/12/2019</w:t>
            </w:r>
          </w:p>
        </w:tc>
        <w:tc>
          <w:tcPr>
            <w:tcW w:w="1140" w:type="dxa"/>
            <w:vAlign w:val="bottom"/>
            <w:tcBorders>
              <w:right w:val="single" w:sz="8" w:color="47829E"/>
            </w:tcBorders>
          </w:tcPr>
          <w:p>
            <w:pPr>
              <w:ind w:left="600"/>
              <w:spacing w:after="0" w:line="149" w:lineRule="exact"/>
              <w:rPr>
                <w:sz w:val="20"/>
                <w:szCs w:val="20"/>
                <w:color w:val="auto"/>
              </w:rPr>
            </w:pPr>
            <w:r>
              <w:rPr>
                <w:rFonts w:ascii="Arial" w:cs="Arial" w:eastAsia="Arial" w:hAnsi="Arial"/>
                <w:sz w:val="11"/>
                <w:szCs w:val="11"/>
                <w:color w:val="auto"/>
              </w:rPr>
              <w:t>9,913</w:t>
            </w:r>
            <w:r>
              <w:rPr>
                <w:rFonts w:ascii="Arial" w:cs="Arial" w:eastAsia="Arial" w:hAnsi="Arial"/>
                <w:sz w:val="17"/>
                <w:szCs w:val="17"/>
                <w:color w:val="auto"/>
                <w:vertAlign w:val="superscript"/>
              </w:rPr>
              <w:t>11</w:t>
            </w:r>
          </w:p>
        </w:tc>
        <w:tc>
          <w:tcPr>
            <w:tcW w:w="112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1,093,602</w:t>
            </w:r>
          </w:p>
        </w:tc>
        <w:tc>
          <w:tcPr>
            <w:tcW w:w="1180" w:type="dxa"/>
            <w:vAlign w:val="bottom"/>
            <w:tcBorders>
              <w:right w:val="single" w:sz="8" w:color="47829E"/>
            </w:tcBorders>
          </w:tcPr>
          <w:p>
            <w:pPr>
              <w:spacing w:after="0"/>
              <w:rPr>
                <w:sz w:val="12"/>
                <w:szCs w:val="12"/>
                <w:color w:val="auto"/>
              </w:rPr>
            </w:pPr>
          </w:p>
        </w:tc>
        <w:tc>
          <w:tcPr>
            <w:tcW w:w="12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tcPr>
          <w:p>
            <w:pPr>
              <w:spacing w:after="0"/>
              <w:rPr>
                <w:sz w:val="12"/>
                <w:szCs w:val="12"/>
                <w:color w:val="auto"/>
              </w:rPr>
            </w:pPr>
          </w:p>
        </w:tc>
        <w:tc>
          <w:tcPr>
            <w:tcW w:w="110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2,256</w:t>
            </w:r>
          </w:p>
        </w:tc>
        <w:tc>
          <w:tcPr>
            <w:tcW w:w="12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1"/>
                <w:szCs w:val="11"/>
                <w:color w:val="auto"/>
              </w:rPr>
              <w:t>2,257</w:t>
            </w:r>
            <w:r>
              <w:rPr>
                <w:rFonts w:ascii="Arial" w:cs="Arial" w:eastAsia="Arial" w:hAnsi="Arial"/>
                <w:sz w:val="17"/>
                <w:szCs w:val="17"/>
                <w:color w:val="auto"/>
                <w:vertAlign w:val="superscript"/>
              </w:rPr>
              <w:t>4</w:t>
            </w:r>
          </w:p>
        </w:tc>
        <w:tc>
          <w:tcPr>
            <w:tcW w:w="1080" w:type="dxa"/>
            <w:vAlign w:val="bottom"/>
            <w:tcBorders>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69.12</w:t>
            </w:r>
          </w:p>
        </w:tc>
        <w:tc>
          <w:tcPr>
            <w:tcW w:w="960" w:type="dxa"/>
            <w:vAlign w:val="bottom"/>
            <w:tcBorders>
              <w:right w:val="single" w:sz="8" w:color="47829E"/>
            </w:tcBorders>
          </w:tcPr>
          <w:p>
            <w:pPr>
              <w:ind w:left="260"/>
              <w:spacing w:after="0" w:line="149" w:lineRule="exact"/>
              <w:rPr>
                <w:sz w:val="20"/>
                <w:szCs w:val="20"/>
                <w:color w:val="auto"/>
              </w:rPr>
            </w:pPr>
            <w:r>
              <w:rPr>
                <w:rFonts w:ascii="Arial" w:cs="Arial" w:eastAsia="Arial" w:hAnsi="Arial"/>
                <w:sz w:val="14"/>
                <w:szCs w:val="14"/>
                <w:color w:val="auto"/>
              </w:rPr>
              <w:t>5/24/2020</w:t>
            </w:r>
          </w:p>
        </w:tc>
        <w:tc>
          <w:tcPr>
            <w:tcW w:w="1140" w:type="dxa"/>
            <w:vAlign w:val="bottom"/>
            <w:tcBorders>
              <w:right w:val="single" w:sz="8" w:color="47829E"/>
            </w:tcBorders>
          </w:tcPr>
          <w:p>
            <w:pPr>
              <w:jc w:val="right"/>
              <w:ind w:right="3"/>
              <w:spacing w:after="0" w:line="149" w:lineRule="exact"/>
              <w:rPr>
                <w:sz w:val="20"/>
                <w:szCs w:val="20"/>
                <w:color w:val="auto"/>
              </w:rPr>
            </w:pPr>
            <w:r>
              <w:rPr>
                <w:rFonts w:ascii="Arial" w:cs="Arial" w:eastAsia="Arial" w:hAnsi="Arial"/>
                <w:sz w:val="11"/>
                <w:szCs w:val="11"/>
                <w:color w:val="auto"/>
              </w:rPr>
              <w:t>586</w:t>
            </w:r>
            <w:r>
              <w:rPr>
                <w:rFonts w:ascii="Arial" w:cs="Arial" w:eastAsia="Arial" w:hAnsi="Arial"/>
                <w:sz w:val="17"/>
                <w:szCs w:val="17"/>
                <w:color w:val="auto"/>
                <w:vertAlign w:val="superscript"/>
              </w:rPr>
              <w:t>12</w:t>
            </w:r>
          </w:p>
        </w:tc>
        <w:tc>
          <w:tcPr>
            <w:tcW w:w="112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64,648</w:t>
            </w:r>
          </w:p>
        </w:tc>
        <w:tc>
          <w:tcPr>
            <w:tcW w:w="1180" w:type="dxa"/>
            <w:vAlign w:val="bottom"/>
            <w:tcBorders>
              <w:right w:val="single" w:sz="8" w:color="47829E"/>
            </w:tcBorders>
          </w:tcPr>
          <w:p>
            <w:pPr>
              <w:spacing w:after="0"/>
              <w:rPr>
                <w:sz w:val="12"/>
                <w:szCs w:val="12"/>
                <w:color w:val="auto"/>
              </w:rPr>
            </w:pPr>
          </w:p>
        </w:tc>
        <w:tc>
          <w:tcPr>
            <w:tcW w:w="12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tcPr>
          <w:p>
            <w:pPr>
              <w:spacing w:after="0"/>
              <w:rPr>
                <w:sz w:val="12"/>
                <w:szCs w:val="12"/>
                <w:color w:val="auto"/>
              </w:rPr>
            </w:pPr>
          </w:p>
        </w:tc>
        <w:tc>
          <w:tcPr>
            <w:tcW w:w="110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1,001</w:t>
            </w:r>
          </w:p>
        </w:tc>
        <w:tc>
          <w:tcPr>
            <w:tcW w:w="12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1"/>
                <w:szCs w:val="11"/>
                <w:color w:val="auto"/>
              </w:rPr>
              <w:t>3,003</w:t>
            </w:r>
            <w:r>
              <w:rPr>
                <w:rFonts w:ascii="Arial" w:cs="Arial" w:eastAsia="Arial" w:hAnsi="Arial"/>
                <w:sz w:val="17"/>
                <w:szCs w:val="17"/>
                <w:color w:val="auto"/>
                <w:vertAlign w:val="superscript"/>
              </w:rPr>
              <w:t>5</w:t>
            </w:r>
          </w:p>
        </w:tc>
        <w:tc>
          <w:tcPr>
            <w:tcW w:w="1080" w:type="dxa"/>
            <w:vAlign w:val="bottom"/>
            <w:tcBorders>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32"/>
              <w:spacing w:after="0" w:line="149" w:lineRule="exact"/>
              <w:rPr>
                <w:sz w:val="20"/>
                <w:szCs w:val="20"/>
                <w:color w:val="auto"/>
              </w:rPr>
            </w:pPr>
            <w:r>
              <w:rPr>
                <w:rFonts w:ascii="Arial" w:cs="Arial" w:eastAsia="Arial" w:hAnsi="Arial"/>
                <w:sz w:val="14"/>
                <w:szCs w:val="14"/>
                <w:color w:val="auto"/>
              </w:rPr>
              <w:t>108.24</w:t>
            </w:r>
          </w:p>
        </w:tc>
        <w:tc>
          <w:tcPr>
            <w:tcW w:w="960" w:type="dxa"/>
            <w:vAlign w:val="bottom"/>
            <w:tcBorders>
              <w:right w:val="single" w:sz="8" w:color="47829E"/>
            </w:tcBorders>
          </w:tcPr>
          <w:p>
            <w:pPr>
              <w:ind w:left="260"/>
              <w:spacing w:after="0" w:line="149" w:lineRule="exact"/>
              <w:rPr>
                <w:sz w:val="20"/>
                <w:szCs w:val="20"/>
                <w:color w:val="auto"/>
              </w:rPr>
            </w:pPr>
            <w:r>
              <w:rPr>
                <w:rFonts w:ascii="Arial" w:cs="Arial" w:eastAsia="Arial" w:hAnsi="Arial"/>
                <w:sz w:val="14"/>
                <w:szCs w:val="14"/>
                <w:color w:val="auto"/>
              </w:rPr>
              <w:t>5/23/2023</w:t>
            </w:r>
          </w:p>
        </w:tc>
        <w:tc>
          <w:tcPr>
            <w:tcW w:w="1140" w:type="dxa"/>
            <w:vAlign w:val="bottom"/>
            <w:tcBorders>
              <w:right w:val="single" w:sz="8" w:color="47829E"/>
            </w:tcBorders>
          </w:tcPr>
          <w:p>
            <w:pPr>
              <w:jc w:val="right"/>
              <w:ind w:right="3"/>
              <w:spacing w:after="0" w:line="149" w:lineRule="exact"/>
              <w:rPr>
                <w:sz w:val="20"/>
                <w:szCs w:val="20"/>
                <w:color w:val="auto"/>
              </w:rPr>
            </w:pPr>
            <w:r>
              <w:rPr>
                <w:rFonts w:ascii="Arial" w:cs="Arial" w:eastAsia="Arial" w:hAnsi="Arial"/>
                <w:sz w:val="11"/>
                <w:szCs w:val="11"/>
                <w:color w:val="auto"/>
              </w:rPr>
              <w:t>815</w:t>
            </w:r>
            <w:r>
              <w:rPr>
                <w:rFonts w:ascii="Arial" w:cs="Arial" w:eastAsia="Arial" w:hAnsi="Arial"/>
                <w:sz w:val="17"/>
                <w:szCs w:val="17"/>
                <w:color w:val="auto"/>
                <w:vertAlign w:val="superscript"/>
              </w:rPr>
              <w:t>13</w:t>
            </w:r>
          </w:p>
        </w:tc>
        <w:tc>
          <w:tcPr>
            <w:tcW w:w="1120" w:type="dxa"/>
            <w:vAlign w:val="bottom"/>
            <w:tcBorders>
              <w:right w:val="single" w:sz="8" w:color="47829E"/>
            </w:tcBorders>
          </w:tcPr>
          <w:p>
            <w:pPr>
              <w:jc w:val="right"/>
              <w:ind w:right="33"/>
              <w:spacing w:after="0" w:line="149" w:lineRule="exact"/>
              <w:rPr>
                <w:sz w:val="20"/>
                <w:szCs w:val="20"/>
                <w:color w:val="auto"/>
              </w:rPr>
            </w:pPr>
            <w:r>
              <w:rPr>
                <w:rFonts w:ascii="Arial" w:cs="Arial" w:eastAsia="Arial" w:hAnsi="Arial"/>
                <w:sz w:val="14"/>
                <w:szCs w:val="14"/>
                <w:color w:val="auto"/>
              </w:rPr>
              <w:t>89,911</w:t>
            </w:r>
          </w:p>
        </w:tc>
        <w:tc>
          <w:tcPr>
            <w:tcW w:w="1180" w:type="dxa"/>
            <w:vAlign w:val="bottom"/>
            <w:tcBorders>
              <w:right w:val="single" w:sz="8" w:color="47829E"/>
            </w:tcBorders>
          </w:tcPr>
          <w:p>
            <w:pPr>
              <w:spacing w:after="0"/>
              <w:rPr>
                <w:sz w:val="12"/>
                <w:szCs w:val="12"/>
                <w:color w:val="auto"/>
              </w:rPr>
            </w:pPr>
          </w:p>
        </w:tc>
        <w:tc>
          <w:tcPr>
            <w:tcW w:w="12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tcBorders>
              <w:left w:val="single" w:sz="8" w:color="47829E"/>
              <w:right w:val="single" w:sz="8" w:color="47829E"/>
            </w:tcBorders>
          </w:tcPr>
          <w:p>
            <w:pPr>
              <w:spacing w:after="0"/>
              <w:rPr>
                <w:sz w:val="16"/>
                <w:szCs w:val="16"/>
                <w:color w:val="auto"/>
              </w:rPr>
            </w:pPr>
          </w:p>
        </w:tc>
        <w:tc>
          <w:tcPr>
            <w:tcW w:w="110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0</w:t>
            </w:r>
          </w:p>
        </w:tc>
        <w:tc>
          <w:tcPr>
            <w:tcW w:w="1280" w:type="dxa"/>
            <w:vAlign w:val="bottom"/>
            <w:tcBorders>
              <w:right w:val="single" w:sz="8" w:color="47829E"/>
            </w:tcBorders>
          </w:tcPr>
          <w:p>
            <w:pPr>
              <w:jc w:val="right"/>
              <w:spacing w:after="0" w:line="189" w:lineRule="exact"/>
              <w:rPr>
                <w:sz w:val="20"/>
                <w:szCs w:val="20"/>
                <w:color w:val="auto"/>
              </w:rPr>
            </w:pPr>
            <w:r>
              <w:rPr>
                <w:rFonts w:ascii="Arial" w:cs="Arial" w:eastAsia="Arial" w:hAnsi="Arial"/>
                <w:sz w:val="13"/>
                <w:szCs w:val="13"/>
                <w:color w:val="auto"/>
              </w:rPr>
              <w:t>3,757</w:t>
            </w:r>
            <w:r>
              <w:rPr>
                <w:rFonts w:ascii="Arial" w:cs="Arial" w:eastAsia="Arial" w:hAnsi="Arial"/>
                <w:sz w:val="21"/>
                <w:szCs w:val="21"/>
                <w:color w:val="auto"/>
                <w:vertAlign w:val="superscript"/>
              </w:rPr>
              <w:t>6</w:t>
            </w:r>
          </w:p>
        </w:tc>
        <w:tc>
          <w:tcPr>
            <w:tcW w:w="1080" w:type="dxa"/>
            <w:vAlign w:val="bottom"/>
            <w:tcBorders>
              <w:right w:val="single" w:sz="8" w:color="47829E"/>
            </w:tcBorders>
          </w:tcPr>
          <w:p>
            <w:pPr>
              <w:spacing w:after="0"/>
              <w:rPr>
                <w:sz w:val="16"/>
                <w:szCs w:val="16"/>
                <w:color w:val="auto"/>
              </w:rPr>
            </w:pPr>
          </w:p>
        </w:tc>
        <w:tc>
          <w:tcPr>
            <w:tcW w:w="92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121.00</w:t>
            </w:r>
          </w:p>
        </w:tc>
        <w:tc>
          <w:tcPr>
            <w:tcW w:w="960" w:type="dxa"/>
            <w:vAlign w:val="bottom"/>
            <w:tcBorders>
              <w:right w:val="single" w:sz="8" w:color="47829E"/>
            </w:tcBorders>
          </w:tcPr>
          <w:p>
            <w:pPr>
              <w:ind w:left="260"/>
              <w:spacing w:after="0"/>
              <w:rPr>
                <w:sz w:val="20"/>
                <w:szCs w:val="20"/>
                <w:color w:val="auto"/>
              </w:rPr>
            </w:pPr>
            <w:r>
              <w:rPr>
                <w:rFonts w:ascii="Arial" w:cs="Arial" w:eastAsia="Arial" w:hAnsi="Arial"/>
                <w:sz w:val="14"/>
                <w:szCs w:val="14"/>
                <w:color w:val="auto"/>
              </w:rPr>
              <w:t>5/22/2024</w:t>
            </w:r>
          </w:p>
        </w:tc>
        <w:tc>
          <w:tcPr>
            <w:tcW w:w="1140" w:type="dxa"/>
            <w:vAlign w:val="bottom"/>
            <w:tcBorders>
              <w:right w:val="single" w:sz="8" w:color="47829E"/>
            </w:tcBorders>
          </w:tcPr>
          <w:p>
            <w:pPr>
              <w:spacing w:after="0"/>
              <w:rPr>
                <w:sz w:val="16"/>
                <w:szCs w:val="16"/>
                <w:color w:val="auto"/>
              </w:rPr>
            </w:pPr>
          </w:p>
        </w:tc>
        <w:tc>
          <w:tcPr>
            <w:tcW w:w="1120" w:type="dxa"/>
            <w:vAlign w:val="bottom"/>
            <w:tcBorders>
              <w:right w:val="single" w:sz="8" w:color="47829E"/>
            </w:tcBorders>
          </w:tcPr>
          <w:p>
            <w:pPr>
              <w:spacing w:after="0"/>
              <w:rPr>
                <w:sz w:val="16"/>
                <w:szCs w:val="16"/>
                <w:color w:val="auto"/>
              </w:rPr>
            </w:pPr>
          </w:p>
        </w:tc>
        <w:tc>
          <w:tcPr>
            <w:tcW w:w="1180" w:type="dxa"/>
            <w:vAlign w:val="bottom"/>
            <w:tcBorders>
              <w:right w:val="single" w:sz="8" w:color="47829E"/>
            </w:tcBorders>
          </w:tcPr>
          <w:p>
            <w:pPr>
              <w:spacing w:after="0"/>
              <w:rPr>
                <w:sz w:val="16"/>
                <w:szCs w:val="16"/>
                <w:color w:val="auto"/>
              </w:rPr>
            </w:pPr>
          </w:p>
        </w:tc>
        <w:tc>
          <w:tcPr>
            <w:tcW w:w="124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420" w:type="dxa"/>
            <w:vAlign w:val="bottom"/>
            <w:tcBorders>
              <w:left w:val="single" w:sz="8" w:color="47829E"/>
              <w:right w:val="single" w:sz="8" w:color="47829E"/>
            </w:tcBorders>
            <w:shd w:val="clear" w:color="auto" w:fill="E3ECF0"/>
          </w:tcPr>
          <w:p>
            <w:pPr>
              <w:ind w:left="120"/>
              <w:spacing w:after="0" w:line="122" w:lineRule="exact"/>
              <w:rPr>
                <w:sz w:val="20"/>
                <w:szCs w:val="20"/>
                <w:color w:val="auto"/>
              </w:rPr>
            </w:pPr>
            <w:r>
              <w:rPr>
                <w:rFonts w:ascii="Arial" w:cs="Arial" w:eastAsia="Arial" w:hAnsi="Arial"/>
                <w:sz w:val="14"/>
                <w:szCs w:val="14"/>
                <w:b w:val="1"/>
                <w:bCs w:val="1"/>
                <w:color w:val="auto"/>
              </w:rPr>
              <w:t>Donald A.</w:t>
            </w:r>
          </w:p>
        </w:tc>
        <w:tc>
          <w:tcPr>
            <w:tcW w:w="1100" w:type="dxa"/>
            <w:vAlign w:val="bottom"/>
            <w:tcBorders>
              <w:right w:val="single" w:sz="8" w:color="47829E"/>
            </w:tcBorders>
            <w:shd w:val="clear" w:color="auto" w:fill="E3ECF0"/>
          </w:tcPr>
          <w:p>
            <w:pPr>
              <w:jc w:val="right"/>
              <w:ind w:right="32"/>
              <w:spacing w:after="0" w:line="122" w:lineRule="exact"/>
              <w:rPr>
                <w:sz w:val="20"/>
                <w:szCs w:val="20"/>
                <w:color w:val="auto"/>
              </w:rPr>
            </w:pPr>
            <w:r>
              <w:rPr>
                <w:rFonts w:ascii="Arial" w:cs="Arial" w:eastAsia="Arial" w:hAnsi="Arial"/>
                <w:sz w:val="14"/>
                <w:szCs w:val="14"/>
                <w:color w:val="auto"/>
              </w:rPr>
              <w:t>1,818</w:t>
            </w:r>
          </w:p>
        </w:tc>
        <w:tc>
          <w:tcPr>
            <w:tcW w:w="1280" w:type="dxa"/>
            <w:vAlign w:val="bottom"/>
            <w:tcBorders>
              <w:right w:val="single" w:sz="8" w:color="47829E"/>
            </w:tcBorders>
            <w:shd w:val="clear" w:color="auto" w:fill="E3ECF0"/>
          </w:tcPr>
          <w:p>
            <w:pPr>
              <w:jc w:val="right"/>
              <w:spacing w:after="0" w:line="122" w:lineRule="exact"/>
              <w:rPr>
                <w:sz w:val="20"/>
                <w:szCs w:val="20"/>
                <w:color w:val="auto"/>
              </w:rPr>
            </w:pPr>
            <w:r>
              <w:rPr>
                <w:rFonts w:ascii="Arial" w:cs="Arial" w:eastAsia="Arial" w:hAnsi="Arial"/>
                <w:sz w:val="10"/>
                <w:szCs w:val="10"/>
                <w:color w:val="auto"/>
              </w:rPr>
              <w:t>1,819</w:t>
            </w:r>
            <w:r>
              <w:rPr>
                <w:rFonts w:ascii="Arial" w:cs="Arial" w:eastAsia="Arial" w:hAnsi="Arial"/>
                <w:sz w:val="14"/>
                <w:szCs w:val="14"/>
                <w:color w:val="auto"/>
                <w:vertAlign w:val="superscript"/>
              </w:rPr>
              <w:t>4</w:t>
            </w:r>
          </w:p>
        </w:tc>
        <w:tc>
          <w:tcPr>
            <w:tcW w:w="1080" w:type="dxa"/>
            <w:vAlign w:val="bottom"/>
            <w:tcBorders>
              <w:right w:val="single" w:sz="8" w:color="47829E"/>
            </w:tcBorders>
            <w:shd w:val="clear" w:color="auto" w:fill="E3ECF0"/>
          </w:tcPr>
          <w:p>
            <w:pPr>
              <w:spacing w:after="0"/>
              <w:rPr>
                <w:sz w:val="10"/>
                <w:szCs w:val="10"/>
                <w:color w:val="auto"/>
              </w:rPr>
            </w:pPr>
          </w:p>
        </w:tc>
        <w:tc>
          <w:tcPr>
            <w:tcW w:w="920" w:type="dxa"/>
            <w:vAlign w:val="bottom"/>
            <w:tcBorders>
              <w:right w:val="single" w:sz="8" w:color="47829E"/>
            </w:tcBorders>
            <w:shd w:val="clear" w:color="auto" w:fill="E3ECF0"/>
          </w:tcPr>
          <w:p>
            <w:pPr>
              <w:jc w:val="right"/>
              <w:ind w:right="32"/>
              <w:spacing w:after="0" w:line="122" w:lineRule="exact"/>
              <w:rPr>
                <w:sz w:val="20"/>
                <w:szCs w:val="20"/>
                <w:color w:val="auto"/>
              </w:rPr>
            </w:pPr>
            <w:r>
              <w:rPr>
                <w:rFonts w:ascii="Arial" w:cs="Arial" w:eastAsia="Arial" w:hAnsi="Arial"/>
                <w:sz w:val="14"/>
                <w:szCs w:val="14"/>
                <w:color w:val="auto"/>
              </w:rPr>
              <w:t>69.12</w:t>
            </w:r>
          </w:p>
        </w:tc>
        <w:tc>
          <w:tcPr>
            <w:tcW w:w="960" w:type="dxa"/>
            <w:vAlign w:val="bottom"/>
            <w:tcBorders>
              <w:right w:val="single" w:sz="8" w:color="47829E"/>
            </w:tcBorders>
            <w:shd w:val="clear" w:color="auto" w:fill="E3ECF0"/>
          </w:tcPr>
          <w:p>
            <w:pPr>
              <w:ind w:left="260"/>
              <w:spacing w:after="0" w:line="122" w:lineRule="exact"/>
              <w:rPr>
                <w:sz w:val="20"/>
                <w:szCs w:val="20"/>
                <w:color w:val="auto"/>
              </w:rPr>
            </w:pPr>
            <w:r>
              <w:rPr>
                <w:rFonts w:ascii="Arial" w:cs="Arial" w:eastAsia="Arial" w:hAnsi="Arial"/>
                <w:sz w:val="14"/>
                <w:szCs w:val="14"/>
                <w:color w:val="auto"/>
              </w:rPr>
              <w:t>5/24/2020</w:t>
            </w:r>
          </w:p>
        </w:tc>
        <w:tc>
          <w:tcPr>
            <w:tcW w:w="1140" w:type="dxa"/>
            <w:vAlign w:val="bottom"/>
            <w:tcBorders>
              <w:right w:val="single" w:sz="8" w:color="47829E"/>
            </w:tcBorders>
            <w:shd w:val="clear" w:color="auto" w:fill="E3ECF0"/>
          </w:tcPr>
          <w:p>
            <w:pPr>
              <w:ind w:left="600"/>
              <w:spacing w:after="0" w:line="122" w:lineRule="exact"/>
              <w:rPr>
                <w:sz w:val="20"/>
                <w:szCs w:val="20"/>
                <w:color w:val="auto"/>
              </w:rPr>
            </w:pPr>
            <w:r>
              <w:rPr>
                <w:rFonts w:ascii="Arial" w:cs="Arial" w:eastAsia="Arial" w:hAnsi="Arial"/>
                <w:sz w:val="10"/>
                <w:szCs w:val="10"/>
                <w:color w:val="auto"/>
              </w:rPr>
              <w:t>1,819</w:t>
            </w:r>
            <w:r>
              <w:rPr>
                <w:rFonts w:ascii="Arial" w:cs="Arial" w:eastAsia="Arial" w:hAnsi="Arial"/>
                <w:sz w:val="14"/>
                <w:szCs w:val="14"/>
                <w:color w:val="auto"/>
                <w:vertAlign w:val="superscript"/>
              </w:rPr>
              <w:t>8</w:t>
            </w:r>
          </w:p>
        </w:tc>
        <w:tc>
          <w:tcPr>
            <w:tcW w:w="1120" w:type="dxa"/>
            <w:vAlign w:val="bottom"/>
            <w:tcBorders>
              <w:right w:val="single" w:sz="8" w:color="47829E"/>
            </w:tcBorders>
            <w:shd w:val="clear" w:color="auto" w:fill="E3ECF0"/>
          </w:tcPr>
          <w:p>
            <w:pPr>
              <w:jc w:val="right"/>
              <w:ind w:right="33"/>
              <w:spacing w:after="0" w:line="122" w:lineRule="exact"/>
              <w:rPr>
                <w:sz w:val="20"/>
                <w:szCs w:val="20"/>
                <w:color w:val="auto"/>
              </w:rPr>
            </w:pPr>
            <w:r>
              <w:rPr>
                <w:rFonts w:ascii="Arial" w:cs="Arial" w:eastAsia="Arial" w:hAnsi="Arial"/>
                <w:sz w:val="14"/>
                <w:szCs w:val="14"/>
                <w:color w:val="auto"/>
              </w:rPr>
              <w:t>200,672</w:t>
            </w:r>
          </w:p>
        </w:tc>
        <w:tc>
          <w:tcPr>
            <w:tcW w:w="1180" w:type="dxa"/>
            <w:vAlign w:val="bottom"/>
            <w:tcBorders>
              <w:right w:val="single" w:sz="8" w:color="47829E"/>
            </w:tcBorders>
            <w:shd w:val="clear" w:color="auto" w:fill="E3ECF0"/>
          </w:tcPr>
          <w:p>
            <w:pPr>
              <w:jc w:val="right"/>
              <w:ind w:right="32"/>
              <w:spacing w:after="0" w:line="122" w:lineRule="exact"/>
              <w:rPr>
                <w:sz w:val="20"/>
                <w:szCs w:val="20"/>
                <w:color w:val="auto"/>
              </w:rPr>
            </w:pPr>
            <w:r>
              <w:rPr>
                <w:rFonts w:ascii="Arial" w:cs="Arial" w:eastAsia="Arial" w:hAnsi="Arial"/>
                <w:sz w:val="14"/>
                <w:szCs w:val="14"/>
                <w:color w:val="auto"/>
              </w:rPr>
              <w:t>542</w:t>
            </w:r>
          </w:p>
        </w:tc>
        <w:tc>
          <w:tcPr>
            <w:tcW w:w="1240" w:type="dxa"/>
            <w:vAlign w:val="bottom"/>
            <w:tcBorders>
              <w:right w:val="single" w:sz="8" w:color="47829E"/>
            </w:tcBorders>
            <w:shd w:val="clear" w:color="auto" w:fill="E3ECF0"/>
          </w:tcPr>
          <w:p>
            <w:pPr>
              <w:jc w:val="right"/>
              <w:ind w:right="132"/>
              <w:spacing w:after="0" w:line="122" w:lineRule="exact"/>
              <w:rPr>
                <w:sz w:val="20"/>
                <w:szCs w:val="20"/>
                <w:color w:val="auto"/>
              </w:rPr>
            </w:pPr>
            <w:r>
              <w:rPr>
                <w:rFonts w:ascii="Arial" w:cs="Arial" w:eastAsia="Arial" w:hAnsi="Arial"/>
                <w:sz w:val="14"/>
                <w:szCs w:val="14"/>
                <w:color w:val="auto"/>
              </w:rPr>
              <w:t>59,793</w:t>
            </w: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shd w:val="clear" w:color="auto" w:fill="E3ECF0"/>
          </w:tcPr>
          <w:p>
            <w:pPr>
              <w:ind w:left="340"/>
              <w:spacing w:after="0" w:line="149" w:lineRule="exact"/>
              <w:rPr>
                <w:sz w:val="20"/>
                <w:szCs w:val="20"/>
                <w:color w:val="auto"/>
              </w:rPr>
            </w:pPr>
            <w:r>
              <w:rPr>
                <w:rFonts w:ascii="Arial" w:cs="Arial" w:eastAsia="Arial" w:hAnsi="Arial"/>
                <w:sz w:val="14"/>
                <w:szCs w:val="14"/>
                <w:b w:val="1"/>
                <w:bCs w:val="1"/>
                <w:color w:val="auto"/>
              </w:rPr>
              <w:t>McCunniff</w:t>
            </w:r>
          </w:p>
        </w:tc>
        <w:tc>
          <w:tcPr>
            <w:tcW w:w="110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806</w:t>
            </w:r>
          </w:p>
        </w:tc>
        <w:tc>
          <w:tcPr>
            <w:tcW w:w="1280" w:type="dxa"/>
            <w:vAlign w:val="bottom"/>
            <w:tcBorders>
              <w:right w:val="single" w:sz="8" w:color="47829E"/>
            </w:tcBorders>
            <w:shd w:val="clear" w:color="auto" w:fill="E3ECF0"/>
          </w:tcPr>
          <w:p>
            <w:pPr>
              <w:jc w:val="right"/>
              <w:spacing w:after="0" w:line="149" w:lineRule="exact"/>
              <w:rPr>
                <w:sz w:val="20"/>
                <w:szCs w:val="20"/>
                <w:color w:val="auto"/>
              </w:rPr>
            </w:pPr>
            <w:r>
              <w:rPr>
                <w:rFonts w:ascii="Arial" w:cs="Arial" w:eastAsia="Arial" w:hAnsi="Arial"/>
                <w:sz w:val="11"/>
                <w:szCs w:val="11"/>
                <w:color w:val="auto"/>
              </w:rPr>
              <w:t>2,420</w:t>
            </w:r>
            <w:r>
              <w:rPr>
                <w:rFonts w:ascii="Arial" w:cs="Arial" w:eastAsia="Arial" w:hAnsi="Arial"/>
                <w:sz w:val="17"/>
                <w:szCs w:val="17"/>
                <w:color w:val="auto"/>
                <w:vertAlign w:val="superscript"/>
              </w:rPr>
              <w:t>5</w:t>
            </w:r>
          </w:p>
        </w:tc>
        <w:tc>
          <w:tcPr>
            <w:tcW w:w="1080" w:type="dxa"/>
            <w:vAlign w:val="bottom"/>
            <w:tcBorders>
              <w:right w:val="single" w:sz="8" w:color="47829E"/>
            </w:tcBorders>
            <w:shd w:val="clear" w:color="auto" w:fill="E3ECF0"/>
          </w:tcPr>
          <w:p>
            <w:pPr>
              <w:spacing w:after="0"/>
              <w:rPr>
                <w:sz w:val="12"/>
                <w:szCs w:val="12"/>
                <w:color w:val="auto"/>
              </w:rPr>
            </w:pPr>
          </w:p>
        </w:tc>
        <w:tc>
          <w:tcPr>
            <w:tcW w:w="92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108.24</w:t>
            </w:r>
          </w:p>
        </w:tc>
        <w:tc>
          <w:tcPr>
            <w:tcW w:w="960" w:type="dxa"/>
            <w:vAlign w:val="bottom"/>
            <w:tcBorders>
              <w:right w:val="single" w:sz="8" w:color="47829E"/>
            </w:tcBorders>
            <w:shd w:val="clear" w:color="auto" w:fill="E3ECF0"/>
          </w:tcPr>
          <w:p>
            <w:pPr>
              <w:ind w:left="260"/>
              <w:spacing w:after="0" w:line="149" w:lineRule="exact"/>
              <w:rPr>
                <w:sz w:val="20"/>
                <w:szCs w:val="20"/>
                <w:color w:val="auto"/>
              </w:rPr>
            </w:pPr>
            <w:r>
              <w:rPr>
                <w:rFonts w:ascii="Arial" w:cs="Arial" w:eastAsia="Arial" w:hAnsi="Arial"/>
                <w:sz w:val="14"/>
                <w:szCs w:val="14"/>
                <w:color w:val="auto"/>
              </w:rPr>
              <w:t>5/23/2023</w:t>
            </w:r>
          </w:p>
        </w:tc>
        <w:tc>
          <w:tcPr>
            <w:tcW w:w="1140" w:type="dxa"/>
            <w:vAlign w:val="bottom"/>
            <w:tcBorders>
              <w:right w:val="single" w:sz="8" w:color="47829E"/>
            </w:tcBorders>
            <w:shd w:val="clear" w:color="auto" w:fill="E3ECF0"/>
          </w:tcPr>
          <w:p>
            <w:pPr>
              <w:ind w:left="600"/>
              <w:spacing w:after="0" w:line="149" w:lineRule="exact"/>
              <w:rPr>
                <w:sz w:val="20"/>
                <w:szCs w:val="20"/>
                <w:color w:val="auto"/>
              </w:rPr>
            </w:pPr>
            <w:r>
              <w:rPr>
                <w:rFonts w:ascii="Arial" w:cs="Arial" w:eastAsia="Arial" w:hAnsi="Arial"/>
                <w:sz w:val="11"/>
                <w:szCs w:val="11"/>
                <w:color w:val="auto"/>
              </w:rPr>
              <w:t>1,613</w:t>
            </w:r>
            <w:r>
              <w:rPr>
                <w:rFonts w:ascii="Arial" w:cs="Arial" w:eastAsia="Arial" w:hAnsi="Arial"/>
                <w:sz w:val="17"/>
                <w:szCs w:val="17"/>
                <w:color w:val="auto"/>
                <w:vertAlign w:val="superscript"/>
              </w:rPr>
              <w:t>9</w:t>
            </w:r>
          </w:p>
        </w:tc>
        <w:tc>
          <w:tcPr>
            <w:tcW w:w="112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177,946</w:t>
            </w:r>
          </w:p>
        </w:tc>
        <w:tc>
          <w:tcPr>
            <w:tcW w:w="1180" w:type="dxa"/>
            <w:vAlign w:val="bottom"/>
            <w:tcBorders>
              <w:right w:val="single" w:sz="8" w:color="47829E"/>
            </w:tcBorders>
            <w:shd w:val="clear" w:color="auto" w:fill="E3ECF0"/>
          </w:tcPr>
          <w:p>
            <w:pPr>
              <w:spacing w:after="0"/>
              <w:rPr>
                <w:sz w:val="12"/>
                <w:szCs w:val="12"/>
                <w:color w:val="auto"/>
              </w:rPr>
            </w:pPr>
          </w:p>
        </w:tc>
        <w:tc>
          <w:tcPr>
            <w:tcW w:w="1240" w:type="dxa"/>
            <w:vAlign w:val="bottom"/>
            <w:tcBorders>
              <w:right w:val="single" w:sz="8" w:color="47829E"/>
            </w:tcBorders>
            <w:shd w:val="clear" w:color="auto" w:fill="E3ECF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shd w:val="clear" w:color="auto" w:fill="E3ECF0"/>
          </w:tcPr>
          <w:p>
            <w:pPr>
              <w:spacing w:after="0"/>
              <w:rPr>
                <w:sz w:val="12"/>
                <w:szCs w:val="12"/>
                <w:color w:val="auto"/>
              </w:rPr>
            </w:pPr>
          </w:p>
        </w:tc>
        <w:tc>
          <w:tcPr>
            <w:tcW w:w="110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0</w:t>
            </w:r>
          </w:p>
        </w:tc>
        <w:tc>
          <w:tcPr>
            <w:tcW w:w="1280" w:type="dxa"/>
            <w:vAlign w:val="bottom"/>
            <w:tcBorders>
              <w:right w:val="single" w:sz="8" w:color="47829E"/>
            </w:tcBorders>
            <w:shd w:val="clear" w:color="auto" w:fill="E3ECF0"/>
          </w:tcPr>
          <w:p>
            <w:pPr>
              <w:jc w:val="right"/>
              <w:spacing w:after="0" w:line="149" w:lineRule="exact"/>
              <w:rPr>
                <w:sz w:val="20"/>
                <w:szCs w:val="20"/>
                <w:color w:val="auto"/>
              </w:rPr>
            </w:pPr>
            <w:r>
              <w:rPr>
                <w:rFonts w:ascii="Arial" w:cs="Arial" w:eastAsia="Arial" w:hAnsi="Arial"/>
                <w:sz w:val="11"/>
                <w:szCs w:val="11"/>
                <w:color w:val="auto"/>
              </w:rPr>
              <w:t>3,027</w:t>
            </w:r>
            <w:r>
              <w:rPr>
                <w:rFonts w:ascii="Arial" w:cs="Arial" w:eastAsia="Arial" w:hAnsi="Arial"/>
                <w:sz w:val="17"/>
                <w:szCs w:val="17"/>
                <w:color w:val="auto"/>
                <w:vertAlign w:val="superscript"/>
              </w:rPr>
              <w:t>6</w:t>
            </w:r>
          </w:p>
        </w:tc>
        <w:tc>
          <w:tcPr>
            <w:tcW w:w="1080" w:type="dxa"/>
            <w:vAlign w:val="bottom"/>
            <w:tcBorders>
              <w:right w:val="single" w:sz="8" w:color="47829E"/>
            </w:tcBorders>
            <w:shd w:val="clear" w:color="auto" w:fill="E3ECF0"/>
          </w:tcPr>
          <w:p>
            <w:pPr>
              <w:spacing w:after="0"/>
              <w:rPr>
                <w:sz w:val="12"/>
                <w:szCs w:val="12"/>
                <w:color w:val="auto"/>
              </w:rPr>
            </w:pPr>
          </w:p>
        </w:tc>
        <w:tc>
          <w:tcPr>
            <w:tcW w:w="920" w:type="dxa"/>
            <w:vAlign w:val="bottom"/>
            <w:tcBorders>
              <w:right w:val="single" w:sz="8" w:color="47829E"/>
            </w:tcBorders>
            <w:shd w:val="clear" w:color="auto" w:fill="E3ECF0"/>
          </w:tcPr>
          <w:p>
            <w:pPr>
              <w:jc w:val="right"/>
              <w:ind w:right="32"/>
              <w:spacing w:after="0" w:line="149" w:lineRule="exact"/>
              <w:rPr>
                <w:sz w:val="20"/>
                <w:szCs w:val="20"/>
                <w:color w:val="auto"/>
              </w:rPr>
            </w:pPr>
            <w:r>
              <w:rPr>
                <w:rFonts w:ascii="Arial" w:cs="Arial" w:eastAsia="Arial" w:hAnsi="Arial"/>
                <w:sz w:val="14"/>
                <w:szCs w:val="14"/>
                <w:color w:val="auto"/>
              </w:rPr>
              <w:t>121.00</w:t>
            </w:r>
          </w:p>
        </w:tc>
        <w:tc>
          <w:tcPr>
            <w:tcW w:w="960" w:type="dxa"/>
            <w:vAlign w:val="bottom"/>
            <w:tcBorders>
              <w:right w:val="single" w:sz="8" w:color="47829E"/>
            </w:tcBorders>
            <w:shd w:val="clear" w:color="auto" w:fill="E3ECF0"/>
          </w:tcPr>
          <w:p>
            <w:pPr>
              <w:ind w:left="260"/>
              <w:spacing w:after="0" w:line="149" w:lineRule="exact"/>
              <w:rPr>
                <w:sz w:val="20"/>
                <w:szCs w:val="20"/>
                <w:color w:val="auto"/>
              </w:rPr>
            </w:pPr>
            <w:r>
              <w:rPr>
                <w:rFonts w:ascii="Arial" w:cs="Arial" w:eastAsia="Arial" w:hAnsi="Arial"/>
                <w:sz w:val="14"/>
                <w:szCs w:val="14"/>
                <w:color w:val="auto"/>
              </w:rPr>
              <w:t>5/22/2024</w:t>
            </w:r>
          </w:p>
        </w:tc>
        <w:tc>
          <w:tcPr>
            <w:tcW w:w="1140" w:type="dxa"/>
            <w:vAlign w:val="bottom"/>
            <w:tcBorders>
              <w:right w:val="single" w:sz="8" w:color="47829E"/>
            </w:tcBorders>
            <w:shd w:val="clear" w:color="auto" w:fill="E3ECF0"/>
          </w:tcPr>
          <w:p>
            <w:pPr>
              <w:ind w:left="600"/>
              <w:spacing w:after="0" w:line="149" w:lineRule="exact"/>
              <w:rPr>
                <w:sz w:val="20"/>
                <w:szCs w:val="20"/>
                <w:color w:val="auto"/>
              </w:rPr>
            </w:pPr>
            <w:r>
              <w:rPr>
                <w:rFonts w:ascii="Arial" w:cs="Arial" w:eastAsia="Arial" w:hAnsi="Arial"/>
                <w:sz w:val="11"/>
                <w:szCs w:val="11"/>
                <w:color w:val="auto"/>
              </w:rPr>
              <w:t>1,514</w:t>
            </w:r>
            <w:r>
              <w:rPr>
                <w:rFonts w:ascii="Arial" w:cs="Arial" w:eastAsia="Arial" w:hAnsi="Arial"/>
                <w:sz w:val="17"/>
                <w:szCs w:val="17"/>
                <w:color w:val="auto"/>
                <w:vertAlign w:val="superscript"/>
              </w:rPr>
              <w:t>10</w:t>
            </w:r>
          </w:p>
        </w:tc>
        <w:tc>
          <w:tcPr>
            <w:tcW w:w="112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167,024</w:t>
            </w:r>
          </w:p>
        </w:tc>
        <w:tc>
          <w:tcPr>
            <w:tcW w:w="1180" w:type="dxa"/>
            <w:vAlign w:val="bottom"/>
            <w:tcBorders>
              <w:right w:val="single" w:sz="8" w:color="47829E"/>
            </w:tcBorders>
            <w:shd w:val="clear" w:color="auto" w:fill="E3ECF0"/>
          </w:tcPr>
          <w:p>
            <w:pPr>
              <w:spacing w:after="0"/>
              <w:rPr>
                <w:sz w:val="12"/>
                <w:szCs w:val="12"/>
                <w:color w:val="auto"/>
              </w:rPr>
            </w:pPr>
          </w:p>
        </w:tc>
        <w:tc>
          <w:tcPr>
            <w:tcW w:w="1240" w:type="dxa"/>
            <w:vAlign w:val="bottom"/>
            <w:tcBorders>
              <w:right w:val="single" w:sz="8" w:color="47829E"/>
            </w:tcBorders>
            <w:shd w:val="clear" w:color="auto" w:fill="E3ECF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shd w:val="clear" w:color="auto" w:fill="E3ECF0"/>
          </w:tcPr>
          <w:p>
            <w:pPr>
              <w:spacing w:after="0"/>
              <w:rPr>
                <w:sz w:val="12"/>
                <w:szCs w:val="12"/>
                <w:color w:val="auto"/>
              </w:rPr>
            </w:pPr>
          </w:p>
        </w:tc>
        <w:tc>
          <w:tcPr>
            <w:tcW w:w="1100" w:type="dxa"/>
            <w:vAlign w:val="bottom"/>
            <w:tcBorders>
              <w:right w:val="single" w:sz="8" w:color="47829E"/>
            </w:tcBorders>
            <w:shd w:val="clear" w:color="auto" w:fill="E3ECF0"/>
          </w:tcPr>
          <w:p>
            <w:pPr>
              <w:spacing w:after="0"/>
              <w:rPr>
                <w:sz w:val="12"/>
                <w:szCs w:val="12"/>
                <w:color w:val="auto"/>
              </w:rPr>
            </w:pPr>
          </w:p>
        </w:tc>
        <w:tc>
          <w:tcPr>
            <w:tcW w:w="1280" w:type="dxa"/>
            <w:vAlign w:val="bottom"/>
            <w:tcBorders>
              <w:right w:val="single" w:sz="8" w:color="47829E"/>
            </w:tcBorders>
            <w:shd w:val="clear" w:color="auto" w:fill="E3ECF0"/>
          </w:tcPr>
          <w:p>
            <w:pPr>
              <w:spacing w:after="0"/>
              <w:rPr>
                <w:sz w:val="12"/>
                <w:szCs w:val="12"/>
                <w:color w:val="auto"/>
              </w:rPr>
            </w:pPr>
          </w:p>
        </w:tc>
        <w:tc>
          <w:tcPr>
            <w:tcW w:w="1080" w:type="dxa"/>
            <w:vAlign w:val="bottom"/>
            <w:tcBorders>
              <w:right w:val="single" w:sz="8" w:color="47829E"/>
            </w:tcBorders>
            <w:shd w:val="clear" w:color="auto" w:fill="E3ECF0"/>
          </w:tcPr>
          <w:p>
            <w:pPr>
              <w:spacing w:after="0"/>
              <w:rPr>
                <w:sz w:val="12"/>
                <w:szCs w:val="12"/>
                <w:color w:val="auto"/>
              </w:rPr>
            </w:pPr>
          </w:p>
        </w:tc>
        <w:tc>
          <w:tcPr>
            <w:tcW w:w="920" w:type="dxa"/>
            <w:vAlign w:val="bottom"/>
            <w:tcBorders>
              <w:right w:val="single" w:sz="8" w:color="47829E"/>
            </w:tcBorders>
            <w:shd w:val="clear" w:color="auto" w:fill="E3ECF0"/>
          </w:tcPr>
          <w:p>
            <w:pPr>
              <w:spacing w:after="0"/>
              <w:rPr>
                <w:sz w:val="12"/>
                <w:szCs w:val="12"/>
                <w:color w:val="auto"/>
              </w:rPr>
            </w:pPr>
          </w:p>
        </w:tc>
        <w:tc>
          <w:tcPr>
            <w:tcW w:w="960" w:type="dxa"/>
            <w:vAlign w:val="bottom"/>
            <w:tcBorders>
              <w:right w:val="single" w:sz="8" w:color="47829E"/>
            </w:tcBorders>
            <w:shd w:val="clear" w:color="auto" w:fill="E3ECF0"/>
          </w:tcPr>
          <w:p>
            <w:pPr>
              <w:spacing w:after="0"/>
              <w:rPr>
                <w:sz w:val="12"/>
                <w:szCs w:val="12"/>
                <w:color w:val="auto"/>
              </w:rPr>
            </w:pPr>
          </w:p>
        </w:tc>
        <w:tc>
          <w:tcPr>
            <w:tcW w:w="1140" w:type="dxa"/>
            <w:vAlign w:val="bottom"/>
            <w:tcBorders>
              <w:right w:val="single" w:sz="8" w:color="47829E"/>
            </w:tcBorders>
            <w:shd w:val="clear" w:color="auto" w:fill="E3ECF0"/>
          </w:tcPr>
          <w:p>
            <w:pPr>
              <w:ind w:left="600"/>
              <w:spacing w:after="0" w:line="149" w:lineRule="exact"/>
              <w:rPr>
                <w:sz w:val="20"/>
                <w:szCs w:val="20"/>
                <w:color w:val="auto"/>
              </w:rPr>
            </w:pPr>
            <w:r>
              <w:rPr>
                <w:rFonts w:ascii="Arial" w:cs="Arial" w:eastAsia="Arial" w:hAnsi="Arial"/>
                <w:sz w:val="11"/>
                <w:szCs w:val="11"/>
                <w:color w:val="auto"/>
              </w:rPr>
              <w:t>8,127</w:t>
            </w:r>
            <w:r>
              <w:rPr>
                <w:rFonts w:ascii="Arial" w:cs="Arial" w:eastAsia="Arial" w:hAnsi="Arial"/>
                <w:sz w:val="17"/>
                <w:szCs w:val="17"/>
                <w:color w:val="auto"/>
                <w:vertAlign w:val="superscript"/>
              </w:rPr>
              <w:t>11</w:t>
            </w:r>
          </w:p>
        </w:tc>
        <w:tc>
          <w:tcPr>
            <w:tcW w:w="112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896,571</w:t>
            </w:r>
          </w:p>
        </w:tc>
        <w:tc>
          <w:tcPr>
            <w:tcW w:w="1180" w:type="dxa"/>
            <w:vAlign w:val="bottom"/>
            <w:tcBorders>
              <w:right w:val="single" w:sz="8" w:color="47829E"/>
            </w:tcBorders>
            <w:shd w:val="clear" w:color="auto" w:fill="E3ECF0"/>
          </w:tcPr>
          <w:p>
            <w:pPr>
              <w:spacing w:after="0"/>
              <w:rPr>
                <w:sz w:val="12"/>
                <w:szCs w:val="12"/>
                <w:color w:val="auto"/>
              </w:rPr>
            </w:pPr>
          </w:p>
        </w:tc>
        <w:tc>
          <w:tcPr>
            <w:tcW w:w="1240" w:type="dxa"/>
            <w:vAlign w:val="bottom"/>
            <w:tcBorders>
              <w:right w:val="single" w:sz="8" w:color="47829E"/>
            </w:tcBorders>
            <w:shd w:val="clear" w:color="auto" w:fill="E3ECF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47829E"/>
              <w:right w:val="single" w:sz="8" w:color="47829E"/>
            </w:tcBorders>
            <w:shd w:val="clear" w:color="auto" w:fill="E3ECF0"/>
          </w:tcPr>
          <w:p>
            <w:pPr>
              <w:spacing w:after="0"/>
              <w:rPr>
                <w:sz w:val="12"/>
                <w:szCs w:val="12"/>
                <w:color w:val="auto"/>
              </w:rPr>
            </w:pPr>
          </w:p>
        </w:tc>
        <w:tc>
          <w:tcPr>
            <w:tcW w:w="1100" w:type="dxa"/>
            <w:vAlign w:val="bottom"/>
            <w:tcBorders>
              <w:right w:val="single" w:sz="8" w:color="47829E"/>
            </w:tcBorders>
            <w:shd w:val="clear" w:color="auto" w:fill="E3ECF0"/>
          </w:tcPr>
          <w:p>
            <w:pPr>
              <w:spacing w:after="0"/>
              <w:rPr>
                <w:sz w:val="12"/>
                <w:szCs w:val="12"/>
                <w:color w:val="auto"/>
              </w:rPr>
            </w:pPr>
          </w:p>
        </w:tc>
        <w:tc>
          <w:tcPr>
            <w:tcW w:w="1280" w:type="dxa"/>
            <w:vAlign w:val="bottom"/>
            <w:tcBorders>
              <w:right w:val="single" w:sz="8" w:color="47829E"/>
            </w:tcBorders>
            <w:shd w:val="clear" w:color="auto" w:fill="E3ECF0"/>
          </w:tcPr>
          <w:p>
            <w:pPr>
              <w:spacing w:after="0"/>
              <w:rPr>
                <w:sz w:val="12"/>
                <w:szCs w:val="12"/>
                <w:color w:val="auto"/>
              </w:rPr>
            </w:pPr>
          </w:p>
        </w:tc>
        <w:tc>
          <w:tcPr>
            <w:tcW w:w="1080" w:type="dxa"/>
            <w:vAlign w:val="bottom"/>
            <w:tcBorders>
              <w:right w:val="single" w:sz="8" w:color="47829E"/>
            </w:tcBorders>
            <w:shd w:val="clear" w:color="auto" w:fill="E3ECF0"/>
          </w:tcPr>
          <w:p>
            <w:pPr>
              <w:spacing w:after="0"/>
              <w:rPr>
                <w:sz w:val="12"/>
                <w:szCs w:val="12"/>
                <w:color w:val="auto"/>
              </w:rPr>
            </w:pPr>
          </w:p>
        </w:tc>
        <w:tc>
          <w:tcPr>
            <w:tcW w:w="920" w:type="dxa"/>
            <w:vAlign w:val="bottom"/>
            <w:tcBorders>
              <w:right w:val="single" w:sz="8" w:color="47829E"/>
            </w:tcBorders>
            <w:shd w:val="clear" w:color="auto" w:fill="E3ECF0"/>
          </w:tcPr>
          <w:p>
            <w:pPr>
              <w:spacing w:after="0"/>
              <w:rPr>
                <w:sz w:val="12"/>
                <w:szCs w:val="12"/>
                <w:color w:val="auto"/>
              </w:rPr>
            </w:pPr>
          </w:p>
        </w:tc>
        <w:tc>
          <w:tcPr>
            <w:tcW w:w="960" w:type="dxa"/>
            <w:vAlign w:val="bottom"/>
            <w:tcBorders>
              <w:right w:val="single" w:sz="8" w:color="47829E"/>
            </w:tcBorders>
            <w:shd w:val="clear" w:color="auto" w:fill="E3ECF0"/>
          </w:tcPr>
          <w:p>
            <w:pPr>
              <w:spacing w:after="0"/>
              <w:rPr>
                <w:sz w:val="12"/>
                <w:szCs w:val="12"/>
                <w:color w:val="auto"/>
              </w:rPr>
            </w:pPr>
          </w:p>
        </w:tc>
        <w:tc>
          <w:tcPr>
            <w:tcW w:w="1140" w:type="dxa"/>
            <w:vAlign w:val="bottom"/>
            <w:tcBorders>
              <w:right w:val="single" w:sz="8" w:color="47829E"/>
            </w:tcBorders>
            <w:shd w:val="clear" w:color="auto" w:fill="E3ECF0"/>
          </w:tcPr>
          <w:p>
            <w:pPr>
              <w:jc w:val="right"/>
              <w:ind w:right="3"/>
              <w:spacing w:after="0" w:line="149" w:lineRule="exact"/>
              <w:rPr>
                <w:sz w:val="20"/>
                <w:szCs w:val="20"/>
                <w:color w:val="auto"/>
              </w:rPr>
            </w:pPr>
            <w:r>
              <w:rPr>
                <w:rFonts w:ascii="Arial" w:cs="Arial" w:eastAsia="Arial" w:hAnsi="Arial"/>
                <w:sz w:val="11"/>
                <w:szCs w:val="11"/>
                <w:color w:val="auto"/>
              </w:rPr>
              <w:t>423</w:t>
            </w:r>
            <w:r>
              <w:rPr>
                <w:rFonts w:ascii="Arial" w:cs="Arial" w:eastAsia="Arial" w:hAnsi="Arial"/>
                <w:sz w:val="17"/>
                <w:szCs w:val="17"/>
                <w:color w:val="auto"/>
                <w:vertAlign w:val="superscript"/>
              </w:rPr>
              <w:t>12</w:t>
            </w:r>
          </w:p>
        </w:tc>
        <w:tc>
          <w:tcPr>
            <w:tcW w:w="1120" w:type="dxa"/>
            <w:vAlign w:val="bottom"/>
            <w:tcBorders>
              <w:right w:val="single" w:sz="8" w:color="47829E"/>
            </w:tcBorders>
            <w:shd w:val="clear" w:color="auto" w:fill="E3ECF0"/>
          </w:tcPr>
          <w:p>
            <w:pPr>
              <w:jc w:val="right"/>
              <w:ind w:right="33"/>
              <w:spacing w:after="0" w:line="149" w:lineRule="exact"/>
              <w:rPr>
                <w:sz w:val="20"/>
                <w:szCs w:val="20"/>
                <w:color w:val="auto"/>
              </w:rPr>
            </w:pPr>
            <w:r>
              <w:rPr>
                <w:rFonts w:ascii="Arial" w:cs="Arial" w:eastAsia="Arial" w:hAnsi="Arial"/>
                <w:sz w:val="14"/>
                <w:szCs w:val="14"/>
                <w:color w:val="auto"/>
              </w:rPr>
              <w:t>46,665</w:t>
            </w:r>
          </w:p>
        </w:tc>
        <w:tc>
          <w:tcPr>
            <w:tcW w:w="1180" w:type="dxa"/>
            <w:vAlign w:val="bottom"/>
            <w:tcBorders>
              <w:right w:val="single" w:sz="8" w:color="47829E"/>
            </w:tcBorders>
            <w:shd w:val="clear" w:color="auto" w:fill="E3ECF0"/>
          </w:tcPr>
          <w:p>
            <w:pPr>
              <w:spacing w:after="0"/>
              <w:rPr>
                <w:sz w:val="12"/>
                <w:szCs w:val="12"/>
                <w:color w:val="auto"/>
              </w:rPr>
            </w:pPr>
          </w:p>
        </w:tc>
        <w:tc>
          <w:tcPr>
            <w:tcW w:w="1240" w:type="dxa"/>
            <w:vAlign w:val="bottom"/>
            <w:tcBorders>
              <w:right w:val="single" w:sz="8" w:color="47829E"/>
            </w:tcBorders>
            <w:shd w:val="clear" w:color="auto" w:fill="E3ECF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tcBorders>
              <w:left w:val="single" w:sz="8" w:color="47829E"/>
              <w:right w:val="single" w:sz="8" w:color="47829E"/>
            </w:tcBorders>
            <w:shd w:val="clear" w:color="auto" w:fill="E3ECF0"/>
          </w:tcPr>
          <w:p>
            <w:pPr>
              <w:spacing w:after="0"/>
              <w:rPr>
                <w:sz w:val="16"/>
                <w:szCs w:val="16"/>
                <w:color w:val="auto"/>
              </w:rPr>
            </w:pPr>
          </w:p>
        </w:tc>
        <w:tc>
          <w:tcPr>
            <w:tcW w:w="1100" w:type="dxa"/>
            <w:vAlign w:val="bottom"/>
            <w:tcBorders>
              <w:right w:val="single" w:sz="8" w:color="47829E"/>
            </w:tcBorders>
            <w:shd w:val="clear" w:color="auto" w:fill="E3ECF0"/>
          </w:tcPr>
          <w:p>
            <w:pPr>
              <w:spacing w:after="0"/>
              <w:rPr>
                <w:sz w:val="16"/>
                <w:szCs w:val="16"/>
                <w:color w:val="auto"/>
              </w:rPr>
            </w:pPr>
          </w:p>
        </w:tc>
        <w:tc>
          <w:tcPr>
            <w:tcW w:w="1280" w:type="dxa"/>
            <w:vAlign w:val="bottom"/>
            <w:tcBorders>
              <w:right w:val="single" w:sz="8" w:color="47829E"/>
            </w:tcBorders>
            <w:shd w:val="clear" w:color="auto" w:fill="E3ECF0"/>
          </w:tcPr>
          <w:p>
            <w:pPr>
              <w:spacing w:after="0"/>
              <w:rPr>
                <w:sz w:val="16"/>
                <w:szCs w:val="16"/>
                <w:color w:val="auto"/>
              </w:rPr>
            </w:pPr>
          </w:p>
        </w:tc>
        <w:tc>
          <w:tcPr>
            <w:tcW w:w="1080" w:type="dxa"/>
            <w:vAlign w:val="bottom"/>
            <w:tcBorders>
              <w:right w:val="single" w:sz="8" w:color="47829E"/>
            </w:tcBorders>
            <w:shd w:val="clear" w:color="auto" w:fill="E3ECF0"/>
          </w:tcPr>
          <w:p>
            <w:pPr>
              <w:spacing w:after="0"/>
              <w:rPr>
                <w:sz w:val="16"/>
                <w:szCs w:val="16"/>
                <w:color w:val="auto"/>
              </w:rPr>
            </w:pPr>
          </w:p>
        </w:tc>
        <w:tc>
          <w:tcPr>
            <w:tcW w:w="920" w:type="dxa"/>
            <w:vAlign w:val="bottom"/>
            <w:tcBorders>
              <w:right w:val="single" w:sz="8" w:color="47829E"/>
            </w:tcBorders>
            <w:shd w:val="clear" w:color="auto" w:fill="E3ECF0"/>
          </w:tcPr>
          <w:p>
            <w:pPr>
              <w:spacing w:after="0"/>
              <w:rPr>
                <w:sz w:val="16"/>
                <w:szCs w:val="16"/>
                <w:color w:val="auto"/>
              </w:rPr>
            </w:pPr>
          </w:p>
        </w:tc>
        <w:tc>
          <w:tcPr>
            <w:tcW w:w="960" w:type="dxa"/>
            <w:vAlign w:val="bottom"/>
            <w:tcBorders>
              <w:right w:val="single" w:sz="8" w:color="47829E"/>
            </w:tcBorders>
            <w:shd w:val="clear" w:color="auto" w:fill="E3ECF0"/>
          </w:tcPr>
          <w:p>
            <w:pPr>
              <w:spacing w:after="0"/>
              <w:rPr>
                <w:sz w:val="16"/>
                <w:szCs w:val="16"/>
                <w:color w:val="auto"/>
              </w:rPr>
            </w:pPr>
          </w:p>
        </w:tc>
        <w:tc>
          <w:tcPr>
            <w:tcW w:w="1140" w:type="dxa"/>
            <w:vAlign w:val="bottom"/>
            <w:tcBorders>
              <w:right w:val="single" w:sz="8" w:color="47829E"/>
            </w:tcBorders>
            <w:shd w:val="clear" w:color="auto" w:fill="E3ECF0"/>
          </w:tcPr>
          <w:p>
            <w:pPr>
              <w:jc w:val="right"/>
              <w:ind w:right="3"/>
              <w:spacing w:after="0" w:line="189" w:lineRule="exact"/>
              <w:rPr>
                <w:sz w:val="20"/>
                <w:szCs w:val="20"/>
                <w:color w:val="auto"/>
              </w:rPr>
            </w:pPr>
            <w:r>
              <w:rPr>
                <w:rFonts w:ascii="Arial" w:cs="Arial" w:eastAsia="Arial" w:hAnsi="Arial"/>
                <w:sz w:val="13"/>
                <w:szCs w:val="13"/>
                <w:color w:val="auto"/>
              </w:rPr>
              <w:t>447</w:t>
            </w:r>
            <w:r>
              <w:rPr>
                <w:rFonts w:ascii="Arial" w:cs="Arial" w:eastAsia="Arial" w:hAnsi="Arial"/>
                <w:sz w:val="21"/>
                <w:szCs w:val="21"/>
                <w:color w:val="auto"/>
                <w:vertAlign w:val="superscript"/>
              </w:rPr>
              <w:t>13</w:t>
            </w:r>
          </w:p>
        </w:tc>
        <w:tc>
          <w:tcPr>
            <w:tcW w:w="1120" w:type="dxa"/>
            <w:vAlign w:val="bottom"/>
            <w:tcBorders>
              <w:right w:val="single" w:sz="8" w:color="47829E"/>
            </w:tcBorders>
            <w:shd w:val="clear" w:color="auto" w:fill="E3ECF0"/>
          </w:tcPr>
          <w:p>
            <w:pPr>
              <w:jc w:val="right"/>
              <w:ind w:right="33"/>
              <w:spacing w:after="0"/>
              <w:rPr>
                <w:sz w:val="20"/>
                <w:szCs w:val="20"/>
                <w:color w:val="auto"/>
              </w:rPr>
            </w:pPr>
            <w:r>
              <w:rPr>
                <w:rFonts w:ascii="Arial" w:cs="Arial" w:eastAsia="Arial" w:hAnsi="Arial"/>
                <w:sz w:val="14"/>
                <w:szCs w:val="14"/>
                <w:color w:val="auto"/>
              </w:rPr>
              <w:t>49,313</w:t>
            </w:r>
          </w:p>
        </w:tc>
        <w:tc>
          <w:tcPr>
            <w:tcW w:w="1180" w:type="dxa"/>
            <w:vAlign w:val="bottom"/>
            <w:tcBorders>
              <w:right w:val="single" w:sz="8" w:color="47829E"/>
            </w:tcBorders>
            <w:shd w:val="clear" w:color="auto" w:fill="E3ECF0"/>
          </w:tcPr>
          <w:p>
            <w:pPr>
              <w:spacing w:after="0"/>
              <w:rPr>
                <w:sz w:val="16"/>
                <w:szCs w:val="16"/>
                <w:color w:val="auto"/>
              </w:rPr>
            </w:pPr>
          </w:p>
        </w:tc>
        <w:tc>
          <w:tcPr>
            <w:tcW w:w="1240" w:type="dxa"/>
            <w:vAlign w:val="bottom"/>
            <w:tcBorders>
              <w:right w:val="single" w:sz="8" w:color="47829E"/>
            </w:tcBorders>
            <w:shd w:val="clear" w:color="auto" w:fill="E3ECF0"/>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420" w:type="dxa"/>
            <w:vAlign w:val="bottom"/>
            <w:tcBorders>
              <w:left w:val="single" w:sz="8" w:color="47829E"/>
              <w:right w:val="single" w:sz="8" w:color="47829E"/>
            </w:tcBorders>
          </w:tcPr>
          <w:p>
            <w:pPr>
              <w:ind w:left="120"/>
              <w:spacing w:after="0" w:line="122" w:lineRule="exact"/>
              <w:rPr>
                <w:sz w:val="20"/>
                <w:szCs w:val="20"/>
                <w:color w:val="auto"/>
              </w:rPr>
            </w:pPr>
            <w:r>
              <w:rPr>
                <w:rFonts w:ascii="Arial" w:cs="Arial" w:eastAsia="Arial" w:hAnsi="Arial"/>
                <w:sz w:val="14"/>
                <w:szCs w:val="14"/>
                <w:b w:val="1"/>
                <w:bCs w:val="1"/>
                <w:color w:val="auto"/>
              </w:rPr>
              <w:t>Daniel L. Grant</w:t>
            </w:r>
          </w:p>
        </w:tc>
        <w:tc>
          <w:tcPr>
            <w:tcW w:w="1100" w:type="dxa"/>
            <w:vAlign w:val="bottom"/>
            <w:tcBorders>
              <w:right w:val="single" w:sz="8" w:color="47829E"/>
            </w:tcBorders>
          </w:tcPr>
          <w:p>
            <w:pPr>
              <w:jc w:val="right"/>
              <w:ind w:right="32"/>
              <w:spacing w:after="0" w:line="122" w:lineRule="exact"/>
              <w:rPr>
                <w:sz w:val="20"/>
                <w:szCs w:val="20"/>
                <w:color w:val="auto"/>
              </w:rPr>
            </w:pPr>
            <w:r>
              <w:rPr>
                <w:rFonts w:ascii="Arial" w:cs="Arial" w:eastAsia="Arial" w:hAnsi="Arial"/>
                <w:sz w:val="14"/>
                <w:szCs w:val="14"/>
                <w:color w:val="auto"/>
              </w:rPr>
              <w:t>0</w:t>
            </w:r>
          </w:p>
        </w:tc>
        <w:tc>
          <w:tcPr>
            <w:tcW w:w="1280" w:type="dxa"/>
            <w:vAlign w:val="bottom"/>
            <w:tcBorders>
              <w:right w:val="single" w:sz="8" w:color="47829E"/>
            </w:tcBorders>
          </w:tcPr>
          <w:p>
            <w:pPr>
              <w:jc w:val="right"/>
              <w:spacing w:after="0" w:line="122" w:lineRule="exact"/>
              <w:rPr>
                <w:sz w:val="20"/>
                <w:szCs w:val="20"/>
                <w:color w:val="auto"/>
              </w:rPr>
            </w:pPr>
            <w:r>
              <w:rPr>
                <w:rFonts w:ascii="Arial" w:cs="Arial" w:eastAsia="Arial" w:hAnsi="Arial"/>
                <w:sz w:val="10"/>
                <w:szCs w:val="10"/>
                <w:color w:val="auto"/>
              </w:rPr>
              <w:t>1,632</w:t>
            </w:r>
            <w:r>
              <w:rPr>
                <w:rFonts w:ascii="Arial" w:cs="Arial" w:eastAsia="Arial" w:hAnsi="Arial"/>
                <w:sz w:val="14"/>
                <w:szCs w:val="14"/>
                <w:color w:val="auto"/>
                <w:vertAlign w:val="superscript"/>
              </w:rPr>
              <w:t>6</w:t>
            </w:r>
          </w:p>
        </w:tc>
        <w:tc>
          <w:tcPr>
            <w:tcW w:w="1080" w:type="dxa"/>
            <w:vAlign w:val="bottom"/>
            <w:tcBorders>
              <w:right w:val="single" w:sz="8" w:color="47829E"/>
            </w:tcBorders>
          </w:tcPr>
          <w:p>
            <w:pPr>
              <w:spacing w:after="0"/>
              <w:rPr>
                <w:sz w:val="10"/>
                <w:szCs w:val="10"/>
                <w:color w:val="auto"/>
              </w:rPr>
            </w:pPr>
          </w:p>
        </w:tc>
        <w:tc>
          <w:tcPr>
            <w:tcW w:w="920" w:type="dxa"/>
            <w:vAlign w:val="bottom"/>
            <w:tcBorders>
              <w:right w:val="single" w:sz="8" w:color="47829E"/>
            </w:tcBorders>
          </w:tcPr>
          <w:p>
            <w:pPr>
              <w:jc w:val="right"/>
              <w:ind w:right="32"/>
              <w:spacing w:after="0" w:line="122" w:lineRule="exact"/>
              <w:rPr>
                <w:sz w:val="20"/>
                <w:szCs w:val="20"/>
                <w:color w:val="auto"/>
              </w:rPr>
            </w:pPr>
            <w:r>
              <w:rPr>
                <w:rFonts w:ascii="Arial" w:cs="Arial" w:eastAsia="Arial" w:hAnsi="Arial"/>
                <w:sz w:val="14"/>
                <w:szCs w:val="14"/>
                <w:color w:val="auto"/>
              </w:rPr>
              <w:t>121.00</w:t>
            </w:r>
          </w:p>
        </w:tc>
        <w:tc>
          <w:tcPr>
            <w:tcW w:w="960" w:type="dxa"/>
            <w:vAlign w:val="bottom"/>
            <w:tcBorders>
              <w:right w:val="single" w:sz="8" w:color="47829E"/>
            </w:tcBorders>
          </w:tcPr>
          <w:p>
            <w:pPr>
              <w:ind w:left="260"/>
              <w:spacing w:after="0" w:line="122" w:lineRule="exact"/>
              <w:rPr>
                <w:sz w:val="20"/>
                <w:szCs w:val="20"/>
                <w:color w:val="auto"/>
              </w:rPr>
            </w:pPr>
            <w:r>
              <w:rPr>
                <w:rFonts w:ascii="Arial" w:cs="Arial" w:eastAsia="Arial" w:hAnsi="Arial"/>
                <w:sz w:val="14"/>
                <w:szCs w:val="14"/>
                <w:color w:val="auto"/>
              </w:rPr>
              <w:t>5/22/2024</w:t>
            </w:r>
          </w:p>
        </w:tc>
        <w:tc>
          <w:tcPr>
            <w:tcW w:w="1140" w:type="dxa"/>
            <w:vAlign w:val="bottom"/>
            <w:tcBorders>
              <w:right w:val="single" w:sz="8" w:color="47829E"/>
            </w:tcBorders>
          </w:tcPr>
          <w:p>
            <w:pPr>
              <w:jc w:val="right"/>
              <w:ind w:right="3"/>
              <w:spacing w:after="0" w:line="122" w:lineRule="exact"/>
              <w:rPr>
                <w:sz w:val="20"/>
                <w:szCs w:val="20"/>
                <w:color w:val="auto"/>
              </w:rPr>
            </w:pPr>
            <w:r>
              <w:rPr>
                <w:rFonts w:ascii="Arial" w:cs="Arial" w:eastAsia="Arial" w:hAnsi="Arial"/>
                <w:sz w:val="10"/>
                <w:szCs w:val="10"/>
                <w:color w:val="auto"/>
              </w:rPr>
              <w:t>816</w:t>
            </w:r>
            <w:r>
              <w:rPr>
                <w:rFonts w:ascii="Arial" w:cs="Arial" w:eastAsia="Arial" w:hAnsi="Arial"/>
                <w:sz w:val="14"/>
                <w:szCs w:val="14"/>
                <w:color w:val="auto"/>
                <w:vertAlign w:val="superscript"/>
              </w:rPr>
              <w:t>10</w:t>
            </w:r>
          </w:p>
        </w:tc>
        <w:tc>
          <w:tcPr>
            <w:tcW w:w="1120" w:type="dxa"/>
            <w:vAlign w:val="bottom"/>
            <w:tcBorders>
              <w:right w:val="single" w:sz="8" w:color="47829E"/>
            </w:tcBorders>
          </w:tcPr>
          <w:p>
            <w:pPr>
              <w:jc w:val="right"/>
              <w:ind w:right="33"/>
              <w:spacing w:after="0" w:line="122" w:lineRule="exact"/>
              <w:rPr>
                <w:sz w:val="20"/>
                <w:szCs w:val="20"/>
                <w:color w:val="auto"/>
              </w:rPr>
            </w:pPr>
            <w:r>
              <w:rPr>
                <w:rFonts w:ascii="Arial" w:cs="Arial" w:eastAsia="Arial" w:hAnsi="Arial"/>
                <w:sz w:val="14"/>
                <w:szCs w:val="14"/>
                <w:color w:val="auto"/>
              </w:rPr>
              <w:t>90,021</w:t>
            </w:r>
          </w:p>
        </w:tc>
        <w:tc>
          <w:tcPr>
            <w:tcW w:w="1180" w:type="dxa"/>
            <w:vAlign w:val="bottom"/>
            <w:tcBorders>
              <w:right w:val="single" w:sz="8" w:color="47829E"/>
            </w:tcBorders>
          </w:tcPr>
          <w:p>
            <w:pPr>
              <w:jc w:val="right"/>
              <w:ind w:right="32"/>
              <w:spacing w:after="0" w:line="122" w:lineRule="exact"/>
              <w:rPr>
                <w:sz w:val="20"/>
                <w:szCs w:val="20"/>
                <w:color w:val="auto"/>
              </w:rPr>
            </w:pPr>
            <w:r>
              <w:rPr>
                <w:rFonts w:ascii="Arial" w:cs="Arial" w:eastAsia="Arial" w:hAnsi="Arial"/>
                <w:sz w:val="14"/>
                <w:szCs w:val="14"/>
                <w:color w:val="auto"/>
              </w:rPr>
              <w:t>519</w:t>
            </w:r>
          </w:p>
        </w:tc>
        <w:tc>
          <w:tcPr>
            <w:tcW w:w="1240" w:type="dxa"/>
            <w:vAlign w:val="bottom"/>
            <w:tcBorders>
              <w:right w:val="single" w:sz="8" w:color="47829E"/>
            </w:tcBorders>
          </w:tcPr>
          <w:p>
            <w:pPr>
              <w:jc w:val="right"/>
              <w:ind w:right="132"/>
              <w:spacing w:after="0" w:line="122" w:lineRule="exact"/>
              <w:rPr>
                <w:sz w:val="20"/>
                <w:szCs w:val="20"/>
                <w:color w:val="auto"/>
              </w:rPr>
            </w:pPr>
            <w:r>
              <w:rPr>
                <w:rFonts w:ascii="Arial" w:cs="Arial" w:eastAsia="Arial" w:hAnsi="Arial"/>
                <w:sz w:val="14"/>
                <w:szCs w:val="14"/>
                <w:color w:val="auto"/>
              </w:rPr>
              <w:t>57,256</w:t>
            </w:r>
          </w:p>
        </w:tc>
        <w:tc>
          <w:tcPr>
            <w:tcW w:w="0" w:type="dxa"/>
            <w:vAlign w:val="bottom"/>
          </w:tcPr>
          <w:p>
            <w:pPr>
              <w:spacing w:after="0"/>
              <w:rPr>
                <w:sz w:val="1"/>
                <w:szCs w:val="1"/>
                <w:color w:val="auto"/>
              </w:rPr>
            </w:pPr>
          </w:p>
        </w:tc>
      </w:tr>
      <w:tr>
        <w:trPr>
          <w:trHeight w:val="189"/>
        </w:trPr>
        <w:tc>
          <w:tcPr>
            <w:tcW w:w="1420" w:type="dxa"/>
            <w:vAlign w:val="bottom"/>
            <w:tcBorders>
              <w:left w:val="single" w:sz="8" w:color="47829E"/>
              <w:bottom w:val="single" w:sz="8" w:color="47829E"/>
              <w:right w:val="single" w:sz="8" w:color="47829E"/>
            </w:tcBorders>
          </w:tcPr>
          <w:p>
            <w:pPr>
              <w:spacing w:after="0"/>
              <w:rPr>
                <w:sz w:val="16"/>
                <w:szCs w:val="16"/>
                <w:color w:val="auto"/>
              </w:rPr>
            </w:pPr>
          </w:p>
        </w:tc>
        <w:tc>
          <w:tcPr>
            <w:tcW w:w="1100" w:type="dxa"/>
            <w:vAlign w:val="bottom"/>
            <w:tcBorders>
              <w:bottom w:val="single" w:sz="8" w:color="47829E"/>
              <w:right w:val="single" w:sz="8" w:color="47829E"/>
            </w:tcBorders>
          </w:tcPr>
          <w:p>
            <w:pPr>
              <w:spacing w:after="0"/>
              <w:rPr>
                <w:sz w:val="16"/>
                <w:szCs w:val="16"/>
                <w:color w:val="auto"/>
              </w:rPr>
            </w:pPr>
          </w:p>
        </w:tc>
        <w:tc>
          <w:tcPr>
            <w:tcW w:w="1280" w:type="dxa"/>
            <w:vAlign w:val="bottom"/>
            <w:tcBorders>
              <w:bottom w:val="single" w:sz="8" w:color="47829E"/>
              <w:right w:val="single" w:sz="8" w:color="47829E"/>
            </w:tcBorders>
          </w:tcPr>
          <w:p>
            <w:pPr>
              <w:spacing w:after="0"/>
              <w:rPr>
                <w:sz w:val="16"/>
                <w:szCs w:val="16"/>
                <w:color w:val="auto"/>
              </w:rPr>
            </w:pPr>
          </w:p>
        </w:tc>
        <w:tc>
          <w:tcPr>
            <w:tcW w:w="1080" w:type="dxa"/>
            <w:vAlign w:val="bottom"/>
            <w:tcBorders>
              <w:bottom w:val="single" w:sz="8" w:color="47829E"/>
              <w:right w:val="single" w:sz="8" w:color="47829E"/>
            </w:tcBorders>
          </w:tcPr>
          <w:p>
            <w:pPr>
              <w:spacing w:after="0"/>
              <w:rPr>
                <w:sz w:val="16"/>
                <w:szCs w:val="16"/>
                <w:color w:val="auto"/>
              </w:rPr>
            </w:pPr>
          </w:p>
        </w:tc>
        <w:tc>
          <w:tcPr>
            <w:tcW w:w="920" w:type="dxa"/>
            <w:vAlign w:val="bottom"/>
            <w:tcBorders>
              <w:bottom w:val="single" w:sz="8" w:color="47829E"/>
              <w:right w:val="single" w:sz="8" w:color="47829E"/>
            </w:tcBorders>
          </w:tcPr>
          <w:p>
            <w:pPr>
              <w:spacing w:after="0"/>
              <w:rPr>
                <w:sz w:val="16"/>
                <w:szCs w:val="16"/>
                <w:color w:val="auto"/>
              </w:rPr>
            </w:pPr>
          </w:p>
        </w:tc>
        <w:tc>
          <w:tcPr>
            <w:tcW w:w="960" w:type="dxa"/>
            <w:vAlign w:val="bottom"/>
            <w:tcBorders>
              <w:bottom w:val="single" w:sz="8" w:color="47829E"/>
              <w:right w:val="single" w:sz="8" w:color="47829E"/>
            </w:tcBorders>
          </w:tcPr>
          <w:p>
            <w:pPr>
              <w:spacing w:after="0"/>
              <w:rPr>
                <w:sz w:val="16"/>
                <w:szCs w:val="16"/>
                <w:color w:val="auto"/>
              </w:rPr>
            </w:pPr>
          </w:p>
        </w:tc>
        <w:tc>
          <w:tcPr>
            <w:tcW w:w="1140" w:type="dxa"/>
            <w:vAlign w:val="bottom"/>
            <w:tcBorders>
              <w:bottom w:val="single" w:sz="8" w:color="47829E"/>
              <w:right w:val="single" w:sz="8" w:color="47829E"/>
            </w:tcBorders>
          </w:tcPr>
          <w:p>
            <w:pPr>
              <w:ind w:left="600"/>
              <w:spacing w:after="0" w:line="189" w:lineRule="exact"/>
              <w:rPr>
                <w:sz w:val="20"/>
                <w:szCs w:val="20"/>
                <w:color w:val="auto"/>
              </w:rPr>
            </w:pPr>
            <w:r>
              <w:rPr>
                <w:rFonts w:ascii="Arial" w:cs="Arial" w:eastAsia="Arial" w:hAnsi="Arial"/>
                <w:sz w:val="13"/>
                <w:szCs w:val="13"/>
                <w:color w:val="auto"/>
              </w:rPr>
              <w:t>7,643</w:t>
            </w:r>
            <w:r>
              <w:rPr>
                <w:rFonts w:ascii="Arial" w:cs="Arial" w:eastAsia="Arial" w:hAnsi="Arial"/>
                <w:sz w:val="21"/>
                <w:szCs w:val="21"/>
                <w:color w:val="auto"/>
                <w:vertAlign w:val="superscript"/>
              </w:rPr>
              <w:t>11</w:t>
            </w:r>
          </w:p>
        </w:tc>
        <w:tc>
          <w:tcPr>
            <w:tcW w:w="1120" w:type="dxa"/>
            <w:vAlign w:val="bottom"/>
            <w:tcBorders>
              <w:bottom w:val="single" w:sz="8" w:color="47829E"/>
              <w:right w:val="single" w:sz="8" w:color="47829E"/>
            </w:tcBorders>
          </w:tcPr>
          <w:p>
            <w:pPr>
              <w:jc w:val="right"/>
              <w:ind w:right="33"/>
              <w:spacing w:after="0"/>
              <w:rPr>
                <w:sz w:val="20"/>
                <w:szCs w:val="20"/>
                <w:color w:val="auto"/>
              </w:rPr>
            </w:pPr>
            <w:r>
              <w:rPr>
                <w:rFonts w:ascii="Arial" w:cs="Arial" w:eastAsia="Arial" w:hAnsi="Arial"/>
                <w:sz w:val="14"/>
                <w:szCs w:val="14"/>
                <w:color w:val="auto"/>
              </w:rPr>
              <w:t>843,176</w:t>
            </w:r>
          </w:p>
        </w:tc>
        <w:tc>
          <w:tcPr>
            <w:tcW w:w="1180" w:type="dxa"/>
            <w:vAlign w:val="bottom"/>
            <w:tcBorders>
              <w:bottom w:val="single" w:sz="8" w:color="47829E"/>
              <w:right w:val="single" w:sz="8" w:color="47829E"/>
            </w:tcBorders>
          </w:tcPr>
          <w:p>
            <w:pPr>
              <w:spacing w:after="0"/>
              <w:rPr>
                <w:sz w:val="16"/>
                <w:szCs w:val="16"/>
                <w:color w:val="auto"/>
              </w:rPr>
            </w:pPr>
          </w:p>
        </w:tc>
        <w:tc>
          <w:tcPr>
            <w:tcW w:w="1240" w:type="dxa"/>
            <w:vAlign w:val="bottom"/>
            <w:tcBorders>
              <w:bottom w:val="single" w:sz="8" w:color="47829E"/>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-4312920</wp:posOffset>
            </wp:positionV>
            <wp:extent cx="61747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16" w:lineRule="exact"/>
        <w:rPr>
          <w:sz w:val="20"/>
          <w:szCs w:val="20"/>
          <w:color w:val="auto"/>
        </w:rPr>
      </w:pPr>
    </w:p>
    <w:p>
      <w:pPr>
        <w:ind w:left="140" w:hanging="69"/>
        <w:spacing w:after="0"/>
        <w:tabs>
          <w:tab w:leader="none" w:pos="140" w:val="left"/>
        </w:tabs>
        <w:numPr>
          <w:ilvl w:val="0"/>
          <w:numId w:val="62"/>
        </w:numPr>
        <w:rPr>
          <w:rFonts w:ascii="Arial" w:cs="Arial" w:eastAsia="Arial" w:hAnsi="Arial"/>
          <w:sz w:val="18"/>
          <w:szCs w:val="18"/>
          <w:color w:val="auto"/>
          <w:vertAlign w:val="superscript"/>
        </w:rPr>
      </w:pPr>
      <w:r>
        <w:rPr>
          <w:rFonts w:ascii="Arial" w:cs="Arial" w:eastAsia="Arial" w:hAnsi="Arial"/>
          <w:sz w:val="12"/>
          <w:szCs w:val="12"/>
          <w:color w:val="auto"/>
        </w:rPr>
        <w:t>Based on the closing price of our common stock as of December 31, 2014 ($110.32).</w:t>
      </w:r>
    </w:p>
    <w:p>
      <w:pPr>
        <w:spacing w:after="0" w:line="23" w:lineRule="exact"/>
        <w:rPr>
          <w:sz w:val="20"/>
          <w:szCs w:val="20"/>
          <w:color w:val="auto"/>
        </w:rPr>
      </w:pPr>
    </w:p>
    <w:p>
      <w:pPr>
        <w:ind w:left="140" w:hanging="69"/>
        <w:spacing w:after="0"/>
        <w:tabs>
          <w:tab w:leader="none" w:pos="140" w:val="left"/>
        </w:tabs>
        <w:numPr>
          <w:ilvl w:val="0"/>
          <w:numId w:val="63"/>
        </w:numPr>
        <w:rPr>
          <w:rFonts w:ascii="Arial" w:cs="Arial" w:eastAsia="Arial" w:hAnsi="Arial"/>
          <w:sz w:val="18"/>
          <w:szCs w:val="18"/>
          <w:color w:val="auto"/>
          <w:vertAlign w:val="superscript"/>
        </w:rPr>
      </w:pPr>
      <w:r>
        <w:rPr>
          <w:rFonts w:ascii="Arial" w:cs="Arial" w:eastAsia="Arial" w:hAnsi="Arial"/>
          <w:sz w:val="12"/>
          <w:szCs w:val="12"/>
          <w:color w:val="auto"/>
        </w:rPr>
        <w:t>The amount for these outstanding awards of performance shares are presented at the threshold performance levels. The awards generally vest at December 31, 2016.</w:t>
      </w:r>
    </w:p>
    <w:p>
      <w:pPr>
        <w:spacing w:after="0" w:line="67" w:lineRule="exact"/>
        <w:rPr>
          <w:rFonts w:ascii="Arial" w:cs="Arial" w:eastAsia="Arial" w:hAnsi="Arial"/>
          <w:sz w:val="18"/>
          <w:szCs w:val="18"/>
          <w:color w:val="auto"/>
          <w:vertAlign w:val="superscript"/>
        </w:rPr>
      </w:pPr>
    </w:p>
    <w:p>
      <w:pPr>
        <w:ind w:left="80"/>
        <w:spacing w:after="0" w:line="217" w:lineRule="auto"/>
        <w:rPr>
          <w:rFonts w:ascii="Arial" w:cs="Arial" w:eastAsia="Arial" w:hAnsi="Arial"/>
          <w:sz w:val="18"/>
          <w:szCs w:val="18"/>
          <w:color w:val="auto"/>
          <w:vertAlign w:val="superscript"/>
        </w:rPr>
      </w:pPr>
      <w:r>
        <w:rPr>
          <w:rFonts w:ascii="Arial" w:cs="Arial" w:eastAsia="Arial" w:hAnsi="Arial"/>
          <w:sz w:val="22"/>
          <w:szCs w:val="22"/>
          <w:color w:val="auto"/>
          <w:vertAlign w:val="superscript"/>
        </w:rPr>
        <w:t>3</w:t>
      </w:r>
      <w:r>
        <w:rPr>
          <w:rFonts w:ascii="Arial" w:cs="Arial" w:eastAsia="Arial" w:hAnsi="Arial"/>
          <w:sz w:val="14"/>
          <w:szCs w:val="14"/>
          <w:color w:val="auto"/>
        </w:rPr>
        <w:t>Options exercisable ratably in installments on May 12, 2015.</w:t>
      </w:r>
    </w:p>
    <w:p>
      <w:pPr>
        <w:ind w:left="80"/>
        <w:spacing w:after="0" w:line="217" w:lineRule="auto"/>
        <w:rPr>
          <w:rFonts w:ascii="Arial" w:cs="Arial" w:eastAsia="Arial" w:hAnsi="Arial"/>
          <w:sz w:val="18"/>
          <w:szCs w:val="18"/>
          <w:color w:val="auto"/>
          <w:vertAlign w:val="superscript"/>
        </w:rPr>
      </w:pPr>
      <w:r>
        <w:rPr>
          <w:rFonts w:ascii="Arial" w:cs="Arial" w:eastAsia="Arial" w:hAnsi="Arial"/>
          <w:sz w:val="22"/>
          <w:szCs w:val="22"/>
          <w:color w:val="auto"/>
          <w:vertAlign w:val="superscript"/>
        </w:rPr>
        <w:t>4</w:t>
      </w:r>
      <w:r>
        <w:rPr>
          <w:rFonts w:ascii="Arial" w:cs="Arial" w:eastAsia="Arial" w:hAnsi="Arial"/>
          <w:sz w:val="14"/>
          <w:szCs w:val="14"/>
          <w:color w:val="auto"/>
        </w:rPr>
        <w:t>Options exercisable ratably in installments on May 24, 2015 and 2016.</w:t>
      </w:r>
    </w:p>
    <w:p>
      <w:pPr>
        <w:ind w:left="80"/>
        <w:spacing w:after="0" w:line="217" w:lineRule="auto"/>
        <w:rPr>
          <w:rFonts w:ascii="Arial" w:cs="Arial" w:eastAsia="Arial" w:hAnsi="Arial"/>
          <w:sz w:val="18"/>
          <w:szCs w:val="18"/>
          <w:color w:val="auto"/>
          <w:vertAlign w:val="superscript"/>
        </w:rPr>
      </w:pPr>
      <w:r>
        <w:rPr>
          <w:rFonts w:ascii="Arial" w:cs="Arial" w:eastAsia="Arial" w:hAnsi="Arial"/>
          <w:sz w:val="22"/>
          <w:szCs w:val="22"/>
          <w:color w:val="auto"/>
          <w:vertAlign w:val="superscript"/>
        </w:rPr>
        <w:t>5</w:t>
      </w:r>
      <w:r>
        <w:rPr>
          <w:rFonts w:ascii="Arial" w:cs="Arial" w:eastAsia="Arial" w:hAnsi="Arial"/>
          <w:sz w:val="14"/>
          <w:szCs w:val="14"/>
          <w:color w:val="auto"/>
        </w:rPr>
        <w:t>Options exercisable ratably in installments on May 23, 2015, 2016 and 2017.</w:t>
      </w:r>
    </w:p>
    <w:p>
      <w:pPr>
        <w:ind w:left="80" w:right="6340"/>
        <w:spacing w:after="0" w:line="217" w:lineRule="auto"/>
        <w:rPr>
          <w:rFonts w:ascii="Arial" w:cs="Arial" w:eastAsia="Arial" w:hAnsi="Arial"/>
          <w:sz w:val="18"/>
          <w:szCs w:val="18"/>
          <w:color w:val="auto"/>
          <w:vertAlign w:val="superscript"/>
        </w:rPr>
      </w:pPr>
      <w:r>
        <w:rPr>
          <w:rFonts w:ascii="Arial" w:cs="Arial" w:eastAsia="Arial" w:hAnsi="Arial"/>
          <w:sz w:val="22"/>
          <w:szCs w:val="22"/>
          <w:color w:val="auto"/>
          <w:vertAlign w:val="superscript"/>
        </w:rPr>
        <w:t>6</w:t>
      </w:r>
      <w:r>
        <w:rPr>
          <w:rFonts w:ascii="Arial" w:cs="Arial" w:eastAsia="Arial" w:hAnsi="Arial"/>
          <w:sz w:val="14"/>
          <w:szCs w:val="14"/>
          <w:color w:val="auto"/>
        </w:rPr>
        <w:t xml:space="preserve">Options exercisable ratably in installments on May 24, 2015, 2016, 2017 and 2018. </w:t>
      </w:r>
      <w:r>
        <w:rPr>
          <w:rFonts w:ascii="Arial" w:cs="Arial" w:eastAsia="Arial" w:hAnsi="Arial"/>
          <w:sz w:val="22"/>
          <w:szCs w:val="22"/>
          <w:color w:val="auto"/>
          <w:vertAlign w:val="superscript"/>
        </w:rPr>
        <w:t>7</w:t>
      </w:r>
      <w:r>
        <w:rPr>
          <w:rFonts w:ascii="Arial" w:cs="Arial" w:eastAsia="Arial" w:hAnsi="Arial"/>
          <w:sz w:val="14"/>
          <w:szCs w:val="14"/>
          <w:color w:val="auto"/>
        </w:rPr>
        <w:t>Restricted stock units restrictions lapse on May 12, 2015.</w:t>
      </w:r>
    </w:p>
    <w:p>
      <w:pPr>
        <w:spacing w:after="0" w:line="1" w:lineRule="exact"/>
        <w:rPr>
          <w:rFonts w:ascii="Arial" w:cs="Arial" w:eastAsia="Arial" w:hAnsi="Arial"/>
          <w:sz w:val="18"/>
          <w:szCs w:val="18"/>
          <w:color w:val="auto"/>
          <w:vertAlign w:val="superscript"/>
        </w:rPr>
      </w:pPr>
    </w:p>
    <w:p>
      <w:pPr>
        <w:jc w:val="both"/>
        <w:ind w:left="80" w:right="7880"/>
        <w:spacing w:after="0" w:line="233" w:lineRule="auto"/>
        <w:rPr>
          <w:rFonts w:ascii="Arial" w:cs="Arial" w:eastAsia="Arial" w:hAnsi="Arial"/>
          <w:sz w:val="18"/>
          <w:szCs w:val="18"/>
          <w:color w:val="auto"/>
          <w:vertAlign w:val="superscript"/>
        </w:rPr>
      </w:pPr>
      <w:r>
        <w:rPr>
          <w:rFonts w:ascii="Arial" w:cs="Arial" w:eastAsia="Arial" w:hAnsi="Arial"/>
          <w:sz w:val="21"/>
          <w:szCs w:val="21"/>
          <w:color w:val="auto"/>
          <w:vertAlign w:val="superscript"/>
        </w:rPr>
        <w:t>8</w:t>
      </w:r>
      <w:r>
        <w:rPr>
          <w:rFonts w:ascii="Arial" w:cs="Arial" w:eastAsia="Arial" w:hAnsi="Arial"/>
          <w:sz w:val="13"/>
          <w:szCs w:val="13"/>
          <w:color w:val="auto"/>
        </w:rPr>
        <w:t xml:space="preserve">Restricted stock units restrictions lapse on May 24, 2015. </w:t>
      </w:r>
      <w:r>
        <w:rPr>
          <w:rFonts w:ascii="Arial" w:cs="Arial" w:eastAsia="Arial" w:hAnsi="Arial"/>
          <w:sz w:val="21"/>
          <w:szCs w:val="21"/>
          <w:color w:val="auto"/>
          <w:vertAlign w:val="superscript"/>
        </w:rPr>
        <w:t>9</w:t>
      </w:r>
      <w:r>
        <w:rPr>
          <w:rFonts w:ascii="Arial" w:cs="Arial" w:eastAsia="Arial" w:hAnsi="Arial"/>
          <w:sz w:val="13"/>
          <w:szCs w:val="13"/>
          <w:color w:val="auto"/>
        </w:rPr>
        <w:t>Restricted stock units restrictions lapse on May 23, 2016.</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40"/>
          </w:cols>
          <w:pgMar w:left="240" w:top="271" w:right="219" w:bottom="1440" w:gutter="0" w:footer="0" w:header="0"/>
        </w:sectPr>
      </w:pPr>
    </w:p>
    <w:bookmarkStart w:id="53" w:name="page54"/>
    <w:bookmarkEnd w:id="53"/>
    <w:p>
      <w:pPr>
        <w:ind w:left="140" w:hanging="132"/>
        <w:spacing w:after="0"/>
        <w:tabs>
          <w:tab w:leader="none" w:pos="140" w:val="left"/>
        </w:tabs>
        <w:numPr>
          <w:ilvl w:val="0"/>
          <w:numId w:val="64"/>
        </w:numPr>
        <w:rPr>
          <w:rFonts w:ascii="Arial" w:cs="Arial" w:eastAsia="Arial" w:hAnsi="Arial"/>
          <w:sz w:val="17"/>
          <w:szCs w:val="17"/>
          <w:color w:val="auto"/>
          <w:vertAlign w:val="superscript"/>
        </w:rPr>
      </w:pPr>
      <w:r>
        <w:rPr>
          <w:rFonts w:ascii="Arial" w:cs="Arial" w:eastAsia="Arial" w:hAnsi="Arial"/>
          <w:sz w:val="11"/>
          <w:szCs w:val="1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stock units restrictions lapse on May 24, 2017.</w:t>
      </w:r>
    </w:p>
    <w:p>
      <w:pPr>
        <w:spacing w:after="0" w:line="67" w:lineRule="exact"/>
        <w:rPr>
          <w:rFonts w:ascii="Arial" w:cs="Arial" w:eastAsia="Arial" w:hAnsi="Arial"/>
          <w:sz w:val="17"/>
          <w:szCs w:val="17"/>
          <w:color w:val="auto"/>
          <w:vertAlign w:val="superscript"/>
        </w:rPr>
      </w:pPr>
    </w:p>
    <w:p>
      <w:pPr>
        <w:ind w:left="140" w:hanging="132"/>
        <w:spacing w:after="0" w:line="199" w:lineRule="auto"/>
        <w:tabs>
          <w:tab w:leader="none" w:pos="140" w:val="left"/>
        </w:tabs>
        <w:numPr>
          <w:ilvl w:val="0"/>
          <w:numId w:val="64"/>
        </w:numPr>
        <w:rPr>
          <w:rFonts w:ascii="Arial" w:cs="Arial" w:eastAsia="Arial" w:hAnsi="Arial"/>
          <w:sz w:val="17"/>
          <w:szCs w:val="17"/>
          <w:color w:val="auto"/>
          <w:vertAlign w:val="superscript"/>
        </w:rPr>
      </w:pPr>
      <w:r>
        <w:rPr>
          <w:rFonts w:ascii="Arial" w:cs="Arial" w:eastAsia="Arial" w:hAnsi="Arial"/>
          <w:sz w:val="11"/>
          <w:szCs w:val="11"/>
          <w:color w:val="auto"/>
        </w:rPr>
        <w:t>Restricted stock units restrictions lapse August 21, 2019.</w:t>
      </w:r>
    </w:p>
    <w:p>
      <w:pPr>
        <w:spacing w:after="0" w:line="67" w:lineRule="exact"/>
        <w:rPr>
          <w:rFonts w:ascii="Arial" w:cs="Arial" w:eastAsia="Arial" w:hAnsi="Arial"/>
          <w:sz w:val="17"/>
          <w:szCs w:val="17"/>
          <w:color w:val="auto"/>
          <w:vertAlign w:val="superscript"/>
        </w:rPr>
      </w:pPr>
    </w:p>
    <w:p>
      <w:pPr>
        <w:ind w:left="140" w:hanging="132"/>
        <w:spacing w:after="0" w:line="199" w:lineRule="auto"/>
        <w:tabs>
          <w:tab w:leader="none" w:pos="140" w:val="left"/>
        </w:tabs>
        <w:numPr>
          <w:ilvl w:val="0"/>
          <w:numId w:val="64"/>
        </w:numPr>
        <w:rPr>
          <w:rFonts w:ascii="Arial" w:cs="Arial" w:eastAsia="Arial" w:hAnsi="Arial"/>
          <w:sz w:val="17"/>
          <w:szCs w:val="17"/>
          <w:color w:val="auto"/>
          <w:vertAlign w:val="superscript"/>
        </w:rPr>
      </w:pPr>
      <w:r>
        <w:rPr>
          <w:rFonts w:ascii="Arial" w:cs="Arial" w:eastAsia="Arial" w:hAnsi="Arial"/>
          <w:sz w:val="11"/>
          <w:szCs w:val="11"/>
          <w:color w:val="auto"/>
        </w:rPr>
        <w:t>Incentive Stock Plan units restrictions lapse on December 1, 2015.</w:t>
      </w:r>
    </w:p>
    <w:p>
      <w:pPr>
        <w:spacing w:after="0" w:line="67" w:lineRule="exact"/>
        <w:rPr>
          <w:rFonts w:ascii="Arial" w:cs="Arial" w:eastAsia="Arial" w:hAnsi="Arial"/>
          <w:sz w:val="17"/>
          <w:szCs w:val="17"/>
          <w:color w:val="auto"/>
          <w:vertAlign w:val="superscript"/>
        </w:rPr>
      </w:pPr>
    </w:p>
    <w:p>
      <w:pPr>
        <w:ind w:left="140" w:hanging="132"/>
        <w:spacing w:after="0" w:line="199" w:lineRule="auto"/>
        <w:tabs>
          <w:tab w:leader="none" w:pos="140" w:val="left"/>
        </w:tabs>
        <w:numPr>
          <w:ilvl w:val="0"/>
          <w:numId w:val="64"/>
        </w:numPr>
        <w:rPr>
          <w:rFonts w:ascii="Arial" w:cs="Arial" w:eastAsia="Arial" w:hAnsi="Arial"/>
          <w:sz w:val="17"/>
          <w:szCs w:val="17"/>
          <w:color w:val="auto"/>
          <w:vertAlign w:val="superscript"/>
        </w:rPr>
      </w:pPr>
      <w:r>
        <w:rPr>
          <w:rFonts w:ascii="Arial" w:cs="Arial" w:eastAsia="Arial" w:hAnsi="Arial"/>
          <w:sz w:val="11"/>
          <w:szCs w:val="11"/>
          <w:color w:val="auto"/>
        </w:rPr>
        <w:t>Incentive Stock Plan units restrictions lapse on December 1,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Stock Vested</w:t>
      </w:r>
    </w:p>
    <w:p>
      <w:pPr>
        <w:spacing w:after="0" w:line="17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table below shows on an aggregated basis for each of the named executive officers information on (1) the exercise of options for the purchase of Martin Marietta’s common stock and (2) the vesting of stock, including restricted stock units and Incentive Stock Plan units, during the last completed fiscal year. There are no awards of stock appreciation rights for Martin Marietta’s common stock or other similar instruments.</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540" w:type="dxa"/>
            <w:vAlign w:val="bottom"/>
            <w:shd w:val="clear" w:color="auto" w:fill="47829E"/>
          </w:tcPr>
          <w:p>
            <w:pPr>
              <w:spacing w:after="0"/>
              <w:rPr>
                <w:sz w:val="22"/>
                <w:szCs w:val="22"/>
                <w:color w:val="auto"/>
              </w:rPr>
            </w:pPr>
          </w:p>
        </w:tc>
        <w:tc>
          <w:tcPr>
            <w:tcW w:w="4220" w:type="dxa"/>
            <w:vAlign w:val="bottom"/>
            <w:gridSpan w:val="2"/>
            <w:shd w:val="clear" w:color="auto" w:fill="47829E"/>
          </w:tcPr>
          <w:p>
            <w:pPr>
              <w:ind w:left="1400"/>
              <w:spacing w:after="0"/>
              <w:rPr>
                <w:sz w:val="20"/>
                <w:szCs w:val="20"/>
                <w:color w:val="auto"/>
              </w:rPr>
            </w:pPr>
            <w:r>
              <w:rPr>
                <w:rFonts w:ascii="Arial" w:cs="Arial" w:eastAsia="Arial" w:hAnsi="Arial"/>
                <w:sz w:val="18"/>
                <w:szCs w:val="18"/>
                <w:b w:val="1"/>
                <w:bCs w:val="1"/>
                <w:color w:val="FFFFFF"/>
              </w:rPr>
              <w:t>OPTION AWARDS</w:t>
            </w:r>
          </w:p>
        </w:tc>
        <w:tc>
          <w:tcPr>
            <w:tcW w:w="3680" w:type="dxa"/>
            <w:vAlign w:val="bottom"/>
            <w:gridSpan w:val="3"/>
            <w:shd w:val="clear" w:color="auto" w:fill="47829E"/>
          </w:tcPr>
          <w:p>
            <w:pPr>
              <w:ind w:left="1100"/>
              <w:spacing w:after="0"/>
              <w:rPr>
                <w:sz w:val="20"/>
                <w:szCs w:val="20"/>
                <w:color w:val="auto"/>
              </w:rPr>
            </w:pPr>
            <w:r>
              <w:rPr>
                <w:rFonts w:ascii="Arial" w:cs="Arial" w:eastAsia="Arial" w:hAnsi="Arial"/>
                <w:sz w:val="18"/>
                <w:szCs w:val="18"/>
                <w:b w:val="1"/>
                <w:bCs w:val="1"/>
                <w:color w:val="FFFFFF"/>
              </w:rPr>
              <w:t>STOCK AWARDS</w:t>
            </w:r>
          </w:p>
        </w:tc>
      </w:tr>
      <w:tr>
        <w:trPr>
          <w:trHeight w:val="197"/>
        </w:trPr>
        <w:tc>
          <w:tcPr>
            <w:tcW w:w="3540" w:type="dxa"/>
            <w:vAlign w:val="bottom"/>
            <w:shd w:val="clear" w:color="auto" w:fill="47829E"/>
          </w:tcPr>
          <w:p>
            <w:pPr>
              <w:spacing w:after="0"/>
              <w:rPr>
                <w:sz w:val="17"/>
                <w:szCs w:val="17"/>
                <w:color w:val="auto"/>
              </w:rPr>
            </w:pPr>
          </w:p>
        </w:tc>
        <w:tc>
          <w:tcPr>
            <w:tcW w:w="2200" w:type="dxa"/>
            <w:vAlign w:val="bottom"/>
            <w:shd w:val="clear" w:color="auto" w:fill="47829E"/>
          </w:tcPr>
          <w:p>
            <w:pPr>
              <w:jc w:val="center"/>
              <w:ind w:left="52"/>
              <w:spacing w:after="0" w:line="197" w:lineRule="exact"/>
              <w:rPr>
                <w:sz w:val="20"/>
                <w:szCs w:val="20"/>
                <w:color w:val="auto"/>
              </w:rPr>
            </w:pPr>
            <w:r>
              <w:rPr>
                <w:rFonts w:ascii="Arial" w:cs="Arial" w:eastAsia="Arial" w:hAnsi="Arial"/>
                <w:sz w:val="18"/>
                <w:szCs w:val="18"/>
                <w:b w:val="1"/>
                <w:bCs w:val="1"/>
                <w:color w:val="FFFFFF"/>
                <w:w w:val="96"/>
              </w:rPr>
              <w:t>Number</w:t>
            </w:r>
          </w:p>
        </w:tc>
        <w:tc>
          <w:tcPr>
            <w:tcW w:w="2020" w:type="dxa"/>
            <w:vAlign w:val="bottom"/>
            <w:shd w:val="clear" w:color="auto" w:fill="47829E"/>
          </w:tcPr>
          <w:p>
            <w:pPr>
              <w:spacing w:after="0"/>
              <w:rPr>
                <w:sz w:val="17"/>
                <w:szCs w:val="17"/>
                <w:color w:val="auto"/>
              </w:rPr>
            </w:pPr>
          </w:p>
        </w:tc>
        <w:tc>
          <w:tcPr>
            <w:tcW w:w="1820" w:type="dxa"/>
            <w:vAlign w:val="bottom"/>
            <w:shd w:val="clear" w:color="auto" w:fill="47829E"/>
          </w:tcPr>
          <w:p>
            <w:pPr>
              <w:jc w:val="center"/>
              <w:ind w:right="52"/>
              <w:spacing w:after="0" w:line="197" w:lineRule="exact"/>
              <w:rPr>
                <w:sz w:val="20"/>
                <w:szCs w:val="20"/>
                <w:color w:val="auto"/>
              </w:rPr>
            </w:pPr>
            <w:r>
              <w:rPr>
                <w:rFonts w:ascii="Arial" w:cs="Arial" w:eastAsia="Arial" w:hAnsi="Arial"/>
                <w:sz w:val="18"/>
                <w:szCs w:val="18"/>
                <w:b w:val="1"/>
                <w:bCs w:val="1"/>
                <w:color w:val="FFFFFF"/>
                <w:w w:val="97"/>
              </w:rPr>
              <w:t>Number of</w:t>
            </w:r>
          </w:p>
        </w:tc>
        <w:tc>
          <w:tcPr>
            <w:tcW w:w="1840" w:type="dxa"/>
            <w:vAlign w:val="bottom"/>
            <w:shd w:val="clear" w:color="auto" w:fill="47829E"/>
          </w:tcPr>
          <w:p>
            <w:pPr>
              <w:spacing w:after="0"/>
              <w:rPr>
                <w:sz w:val="17"/>
                <w:szCs w:val="17"/>
                <w:color w:val="auto"/>
              </w:rPr>
            </w:pPr>
          </w:p>
        </w:tc>
        <w:tc>
          <w:tcPr>
            <w:tcW w:w="20" w:type="dxa"/>
            <w:vAlign w:val="bottom"/>
            <w:shd w:val="clear" w:color="auto" w:fill="47829E"/>
          </w:tcPr>
          <w:p>
            <w:pPr>
              <w:spacing w:after="0"/>
              <w:rPr>
                <w:sz w:val="17"/>
                <w:szCs w:val="17"/>
                <w:color w:val="auto"/>
              </w:rPr>
            </w:pPr>
          </w:p>
        </w:tc>
      </w:tr>
      <w:tr>
        <w:trPr>
          <w:trHeight w:val="203"/>
        </w:trPr>
        <w:tc>
          <w:tcPr>
            <w:tcW w:w="3540" w:type="dxa"/>
            <w:vAlign w:val="bottom"/>
            <w:shd w:val="clear" w:color="auto" w:fill="47829E"/>
          </w:tcPr>
          <w:p>
            <w:pPr>
              <w:spacing w:after="0"/>
              <w:rPr>
                <w:sz w:val="17"/>
                <w:szCs w:val="17"/>
                <w:color w:val="auto"/>
              </w:rPr>
            </w:pPr>
          </w:p>
        </w:tc>
        <w:tc>
          <w:tcPr>
            <w:tcW w:w="2200" w:type="dxa"/>
            <w:vAlign w:val="bottom"/>
            <w:shd w:val="clear" w:color="auto" w:fill="47829E"/>
          </w:tcPr>
          <w:p>
            <w:pPr>
              <w:jc w:val="center"/>
              <w:ind w:left="32"/>
              <w:spacing w:after="0" w:line="202" w:lineRule="exact"/>
              <w:rPr>
                <w:sz w:val="20"/>
                <w:szCs w:val="20"/>
                <w:color w:val="auto"/>
              </w:rPr>
            </w:pPr>
            <w:r>
              <w:rPr>
                <w:rFonts w:ascii="Arial" w:cs="Arial" w:eastAsia="Arial" w:hAnsi="Arial"/>
                <w:sz w:val="18"/>
                <w:szCs w:val="18"/>
                <w:b w:val="1"/>
                <w:bCs w:val="1"/>
                <w:color w:val="FFFFFF"/>
                <w:w w:val="97"/>
              </w:rPr>
              <w:t>of Shares</w:t>
            </w:r>
          </w:p>
        </w:tc>
        <w:tc>
          <w:tcPr>
            <w:tcW w:w="2020" w:type="dxa"/>
            <w:vAlign w:val="bottom"/>
            <w:shd w:val="clear" w:color="auto" w:fill="47829E"/>
          </w:tcPr>
          <w:p>
            <w:pPr>
              <w:spacing w:after="0"/>
              <w:rPr>
                <w:sz w:val="17"/>
                <w:szCs w:val="17"/>
                <w:color w:val="auto"/>
              </w:rPr>
            </w:pPr>
          </w:p>
        </w:tc>
        <w:tc>
          <w:tcPr>
            <w:tcW w:w="1820" w:type="dxa"/>
            <w:vAlign w:val="bottom"/>
            <w:shd w:val="clear" w:color="auto" w:fill="47829E"/>
          </w:tcPr>
          <w:p>
            <w:pPr>
              <w:jc w:val="center"/>
              <w:ind w:right="32"/>
              <w:spacing w:after="0" w:line="202" w:lineRule="exact"/>
              <w:rPr>
                <w:sz w:val="20"/>
                <w:szCs w:val="20"/>
                <w:color w:val="auto"/>
              </w:rPr>
            </w:pPr>
            <w:r>
              <w:rPr>
                <w:rFonts w:ascii="Arial" w:cs="Arial" w:eastAsia="Arial" w:hAnsi="Arial"/>
                <w:sz w:val="18"/>
                <w:szCs w:val="18"/>
                <w:b w:val="1"/>
                <w:bCs w:val="1"/>
                <w:color w:val="FFFFFF"/>
                <w:w w:val="96"/>
              </w:rPr>
              <w:t>Shares</w:t>
            </w:r>
          </w:p>
        </w:tc>
        <w:tc>
          <w:tcPr>
            <w:tcW w:w="1840" w:type="dxa"/>
            <w:vAlign w:val="bottom"/>
            <w:shd w:val="clear" w:color="auto" w:fill="47829E"/>
          </w:tcPr>
          <w:p>
            <w:pPr>
              <w:spacing w:after="0"/>
              <w:rPr>
                <w:sz w:val="17"/>
                <w:szCs w:val="17"/>
                <w:color w:val="auto"/>
              </w:rPr>
            </w:pPr>
          </w:p>
        </w:tc>
        <w:tc>
          <w:tcPr>
            <w:tcW w:w="20" w:type="dxa"/>
            <w:vAlign w:val="bottom"/>
            <w:shd w:val="clear" w:color="auto" w:fill="47829E"/>
          </w:tcPr>
          <w:p>
            <w:pPr>
              <w:spacing w:after="0"/>
              <w:rPr>
                <w:sz w:val="17"/>
                <w:szCs w:val="17"/>
                <w:color w:val="auto"/>
              </w:rPr>
            </w:pPr>
          </w:p>
        </w:tc>
      </w:tr>
      <w:tr>
        <w:trPr>
          <w:trHeight w:val="181"/>
        </w:trPr>
        <w:tc>
          <w:tcPr>
            <w:tcW w:w="3540" w:type="dxa"/>
            <w:vAlign w:val="bottom"/>
            <w:shd w:val="clear" w:color="auto" w:fill="47829E"/>
          </w:tcPr>
          <w:p>
            <w:pPr>
              <w:spacing w:after="0"/>
              <w:rPr>
                <w:sz w:val="15"/>
                <w:szCs w:val="15"/>
                <w:color w:val="auto"/>
              </w:rPr>
            </w:pPr>
          </w:p>
        </w:tc>
        <w:tc>
          <w:tcPr>
            <w:tcW w:w="2200" w:type="dxa"/>
            <w:vAlign w:val="bottom"/>
            <w:shd w:val="clear" w:color="auto" w:fill="47829E"/>
          </w:tcPr>
          <w:p>
            <w:pPr>
              <w:jc w:val="center"/>
              <w:ind w:left="32"/>
              <w:spacing w:after="0" w:line="181" w:lineRule="exact"/>
              <w:rPr>
                <w:sz w:val="20"/>
                <w:szCs w:val="20"/>
                <w:color w:val="auto"/>
              </w:rPr>
            </w:pPr>
            <w:r>
              <w:rPr>
                <w:rFonts w:ascii="Arial" w:cs="Arial" w:eastAsia="Arial" w:hAnsi="Arial"/>
                <w:sz w:val="18"/>
                <w:szCs w:val="18"/>
                <w:b w:val="1"/>
                <w:bCs w:val="1"/>
                <w:color w:val="FFFFFF"/>
                <w:w w:val="97"/>
              </w:rPr>
              <w:t>Acquired</w:t>
            </w:r>
          </w:p>
        </w:tc>
        <w:tc>
          <w:tcPr>
            <w:tcW w:w="2020" w:type="dxa"/>
            <w:vAlign w:val="bottom"/>
            <w:shd w:val="clear" w:color="auto" w:fill="47829E"/>
          </w:tcPr>
          <w:p>
            <w:pPr>
              <w:ind w:left="320"/>
              <w:spacing w:after="0" w:line="181" w:lineRule="exact"/>
              <w:rPr>
                <w:sz w:val="20"/>
                <w:szCs w:val="20"/>
                <w:color w:val="auto"/>
              </w:rPr>
            </w:pPr>
            <w:r>
              <w:rPr>
                <w:rFonts w:ascii="Arial" w:cs="Arial" w:eastAsia="Arial" w:hAnsi="Arial"/>
                <w:sz w:val="18"/>
                <w:szCs w:val="18"/>
                <w:b w:val="1"/>
                <w:bCs w:val="1"/>
                <w:color w:val="FFFFFF"/>
              </w:rPr>
              <w:t>Value Realized</w:t>
            </w:r>
          </w:p>
        </w:tc>
        <w:tc>
          <w:tcPr>
            <w:tcW w:w="1820" w:type="dxa"/>
            <w:vAlign w:val="bottom"/>
            <w:shd w:val="clear" w:color="auto" w:fill="47829E"/>
          </w:tcPr>
          <w:p>
            <w:pPr>
              <w:jc w:val="center"/>
              <w:ind w:right="52"/>
              <w:spacing w:after="0" w:line="181" w:lineRule="exact"/>
              <w:rPr>
                <w:sz w:val="20"/>
                <w:szCs w:val="20"/>
                <w:color w:val="auto"/>
              </w:rPr>
            </w:pPr>
            <w:r>
              <w:rPr>
                <w:rFonts w:ascii="Arial" w:cs="Arial" w:eastAsia="Arial" w:hAnsi="Arial"/>
                <w:sz w:val="18"/>
                <w:szCs w:val="18"/>
                <w:b w:val="1"/>
                <w:bCs w:val="1"/>
                <w:color w:val="FFFFFF"/>
                <w:w w:val="97"/>
              </w:rPr>
              <w:t>Acquired</w:t>
            </w:r>
          </w:p>
        </w:tc>
        <w:tc>
          <w:tcPr>
            <w:tcW w:w="1860" w:type="dxa"/>
            <w:vAlign w:val="bottom"/>
            <w:gridSpan w:val="2"/>
            <w:shd w:val="clear" w:color="auto" w:fill="47829E"/>
          </w:tcPr>
          <w:p>
            <w:pPr>
              <w:jc w:val="center"/>
              <w:spacing w:after="0" w:line="181" w:lineRule="exact"/>
              <w:rPr>
                <w:sz w:val="20"/>
                <w:szCs w:val="20"/>
                <w:color w:val="auto"/>
              </w:rPr>
            </w:pPr>
            <w:r>
              <w:rPr>
                <w:rFonts w:ascii="Arial" w:cs="Arial" w:eastAsia="Arial" w:hAnsi="Arial"/>
                <w:sz w:val="18"/>
                <w:szCs w:val="18"/>
                <w:b w:val="1"/>
                <w:bCs w:val="1"/>
                <w:color w:val="FFFFFF"/>
                <w:w w:val="96"/>
              </w:rPr>
              <w:t>Value Realized</w:t>
            </w:r>
          </w:p>
        </w:tc>
      </w:tr>
      <w:tr>
        <w:trPr>
          <w:trHeight w:val="224"/>
        </w:trPr>
        <w:tc>
          <w:tcPr>
            <w:tcW w:w="3540" w:type="dxa"/>
            <w:vAlign w:val="bottom"/>
            <w:shd w:val="clear" w:color="auto" w:fill="47829E"/>
          </w:tcPr>
          <w:p>
            <w:pPr>
              <w:spacing w:after="0"/>
              <w:rPr>
                <w:sz w:val="19"/>
                <w:szCs w:val="19"/>
                <w:color w:val="auto"/>
              </w:rPr>
            </w:pPr>
          </w:p>
        </w:tc>
        <w:tc>
          <w:tcPr>
            <w:tcW w:w="2200" w:type="dxa"/>
            <w:vAlign w:val="bottom"/>
            <w:shd w:val="clear" w:color="auto" w:fill="47829E"/>
          </w:tcPr>
          <w:p>
            <w:pPr>
              <w:jc w:val="center"/>
              <w:ind w:left="52"/>
              <w:spacing w:after="0"/>
              <w:rPr>
                <w:sz w:val="20"/>
                <w:szCs w:val="20"/>
                <w:color w:val="auto"/>
              </w:rPr>
            </w:pPr>
            <w:r>
              <w:rPr>
                <w:rFonts w:ascii="Arial" w:cs="Arial" w:eastAsia="Arial" w:hAnsi="Arial"/>
                <w:sz w:val="18"/>
                <w:szCs w:val="18"/>
                <w:b w:val="1"/>
                <w:bCs w:val="1"/>
                <w:color w:val="FFFFFF"/>
                <w:w w:val="96"/>
              </w:rPr>
              <w:t>on Exercise</w:t>
            </w:r>
          </w:p>
        </w:tc>
        <w:tc>
          <w:tcPr>
            <w:tcW w:w="2020" w:type="dxa"/>
            <w:vAlign w:val="bottom"/>
            <w:shd w:val="clear" w:color="auto" w:fill="47829E"/>
          </w:tcPr>
          <w:p>
            <w:pPr>
              <w:ind w:left="440"/>
              <w:spacing w:after="0"/>
              <w:rPr>
                <w:sz w:val="20"/>
                <w:szCs w:val="20"/>
                <w:color w:val="auto"/>
              </w:rPr>
            </w:pPr>
            <w:r>
              <w:rPr>
                <w:rFonts w:ascii="Arial" w:cs="Arial" w:eastAsia="Arial" w:hAnsi="Arial"/>
                <w:sz w:val="18"/>
                <w:szCs w:val="18"/>
                <w:b w:val="1"/>
                <w:bCs w:val="1"/>
                <w:color w:val="FFFFFF"/>
              </w:rPr>
              <w:t>on Exercise</w:t>
            </w:r>
          </w:p>
        </w:tc>
        <w:tc>
          <w:tcPr>
            <w:tcW w:w="1820" w:type="dxa"/>
            <w:vAlign w:val="bottom"/>
            <w:shd w:val="clear" w:color="auto" w:fill="47829E"/>
          </w:tcPr>
          <w:p>
            <w:pPr>
              <w:jc w:val="center"/>
              <w:ind w:right="52"/>
              <w:spacing w:after="0"/>
              <w:rPr>
                <w:sz w:val="20"/>
                <w:szCs w:val="20"/>
                <w:color w:val="auto"/>
              </w:rPr>
            </w:pPr>
            <w:r>
              <w:rPr>
                <w:rFonts w:ascii="Arial" w:cs="Arial" w:eastAsia="Arial" w:hAnsi="Arial"/>
                <w:sz w:val="18"/>
                <w:szCs w:val="18"/>
                <w:b w:val="1"/>
                <w:bCs w:val="1"/>
                <w:color w:val="FFFFFF"/>
                <w:w w:val="95"/>
              </w:rPr>
              <w:t>on Vesting</w:t>
            </w:r>
          </w:p>
        </w:tc>
        <w:tc>
          <w:tcPr>
            <w:tcW w:w="1860" w:type="dxa"/>
            <w:vAlign w:val="bottom"/>
            <w:gridSpan w:val="2"/>
            <w:shd w:val="clear" w:color="auto" w:fill="47829E"/>
          </w:tcPr>
          <w:p>
            <w:pPr>
              <w:jc w:val="center"/>
              <w:spacing w:after="0" w:line="225" w:lineRule="exact"/>
              <w:rPr>
                <w:sz w:val="20"/>
                <w:szCs w:val="20"/>
                <w:color w:val="auto"/>
              </w:rPr>
            </w:pPr>
            <w:r>
              <w:rPr>
                <w:rFonts w:ascii="Arial" w:cs="Arial" w:eastAsia="Arial" w:hAnsi="Arial"/>
                <w:sz w:val="16"/>
                <w:szCs w:val="16"/>
                <w:b w:val="1"/>
                <w:bCs w:val="1"/>
                <w:color w:val="FFFFFF"/>
              </w:rPr>
              <w:t>on Vesting</w:t>
            </w:r>
            <w:r>
              <w:rPr>
                <w:rFonts w:ascii="Arial" w:cs="Arial" w:eastAsia="Arial" w:hAnsi="Arial"/>
                <w:sz w:val="26"/>
                <w:szCs w:val="26"/>
                <w:b w:val="1"/>
                <w:bCs w:val="1"/>
                <w:color w:val="FFFFFF"/>
                <w:vertAlign w:val="superscript"/>
              </w:rPr>
              <w:t>1</w:t>
            </w:r>
          </w:p>
        </w:tc>
      </w:tr>
      <w:tr>
        <w:trPr>
          <w:trHeight w:val="203"/>
        </w:trPr>
        <w:tc>
          <w:tcPr>
            <w:tcW w:w="3540" w:type="dxa"/>
            <w:vAlign w:val="bottom"/>
            <w:shd w:val="clear" w:color="auto" w:fill="47829E"/>
          </w:tcPr>
          <w:p>
            <w:pPr>
              <w:ind w:left="120"/>
              <w:spacing w:after="0" w:line="202" w:lineRule="exact"/>
              <w:rPr>
                <w:sz w:val="20"/>
                <w:szCs w:val="20"/>
                <w:color w:val="auto"/>
              </w:rPr>
            </w:pPr>
            <w:r>
              <w:rPr>
                <w:rFonts w:ascii="Arial" w:cs="Arial" w:eastAsia="Arial" w:hAnsi="Arial"/>
                <w:sz w:val="18"/>
                <w:szCs w:val="18"/>
                <w:b w:val="1"/>
                <w:bCs w:val="1"/>
                <w:color w:val="FFFFFF"/>
              </w:rPr>
              <w:t>Name</w:t>
            </w:r>
          </w:p>
        </w:tc>
        <w:tc>
          <w:tcPr>
            <w:tcW w:w="2200" w:type="dxa"/>
            <w:vAlign w:val="bottom"/>
            <w:shd w:val="clear" w:color="auto" w:fill="47829E"/>
          </w:tcPr>
          <w:p>
            <w:pPr>
              <w:jc w:val="center"/>
              <w:ind w:left="52"/>
              <w:spacing w:after="0" w:line="202" w:lineRule="exact"/>
              <w:rPr>
                <w:sz w:val="20"/>
                <w:szCs w:val="20"/>
                <w:color w:val="auto"/>
              </w:rPr>
            </w:pPr>
            <w:r>
              <w:rPr>
                <w:rFonts w:ascii="Arial" w:cs="Arial" w:eastAsia="Arial" w:hAnsi="Arial"/>
                <w:sz w:val="18"/>
                <w:szCs w:val="18"/>
                <w:b w:val="1"/>
                <w:bCs w:val="1"/>
                <w:color w:val="FFFFFF"/>
                <w:w w:val="99"/>
              </w:rPr>
              <w:t>(#)</w:t>
            </w:r>
          </w:p>
        </w:tc>
        <w:tc>
          <w:tcPr>
            <w:tcW w:w="2020" w:type="dxa"/>
            <w:vAlign w:val="bottom"/>
            <w:shd w:val="clear" w:color="auto" w:fill="47829E"/>
          </w:tcPr>
          <w:p>
            <w:pPr>
              <w:ind w:left="840"/>
              <w:spacing w:after="0" w:line="202" w:lineRule="exact"/>
              <w:rPr>
                <w:sz w:val="20"/>
                <w:szCs w:val="20"/>
                <w:color w:val="auto"/>
              </w:rPr>
            </w:pPr>
            <w:r>
              <w:rPr>
                <w:rFonts w:ascii="Arial" w:cs="Arial" w:eastAsia="Arial" w:hAnsi="Arial"/>
                <w:sz w:val="18"/>
                <w:szCs w:val="18"/>
                <w:b w:val="1"/>
                <w:bCs w:val="1"/>
                <w:color w:val="FFFFFF"/>
              </w:rPr>
              <w:t>($)</w:t>
            </w:r>
          </w:p>
        </w:tc>
        <w:tc>
          <w:tcPr>
            <w:tcW w:w="1820" w:type="dxa"/>
            <w:vAlign w:val="bottom"/>
            <w:shd w:val="clear" w:color="auto" w:fill="47829E"/>
          </w:tcPr>
          <w:p>
            <w:pPr>
              <w:jc w:val="center"/>
              <w:ind w:right="32"/>
              <w:spacing w:after="0" w:line="202" w:lineRule="exact"/>
              <w:rPr>
                <w:sz w:val="20"/>
                <w:szCs w:val="20"/>
                <w:color w:val="auto"/>
              </w:rPr>
            </w:pPr>
            <w:r>
              <w:rPr>
                <w:rFonts w:ascii="Arial" w:cs="Arial" w:eastAsia="Arial" w:hAnsi="Arial"/>
                <w:sz w:val="18"/>
                <w:szCs w:val="18"/>
                <w:b w:val="1"/>
                <w:bCs w:val="1"/>
                <w:color w:val="FFFFFF"/>
                <w:w w:val="99"/>
              </w:rPr>
              <w:t>(#)</w:t>
            </w:r>
          </w:p>
        </w:tc>
        <w:tc>
          <w:tcPr>
            <w:tcW w:w="1840" w:type="dxa"/>
            <w:vAlign w:val="bottom"/>
            <w:shd w:val="clear" w:color="auto" w:fill="47829E"/>
          </w:tcPr>
          <w:p>
            <w:pPr>
              <w:jc w:val="center"/>
              <w:spacing w:after="0" w:line="202" w:lineRule="exact"/>
              <w:rPr>
                <w:sz w:val="20"/>
                <w:szCs w:val="20"/>
                <w:color w:val="auto"/>
              </w:rPr>
            </w:pPr>
            <w:r>
              <w:rPr>
                <w:rFonts w:ascii="Arial" w:cs="Arial" w:eastAsia="Arial" w:hAnsi="Arial"/>
                <w:sz w:val="18"/>
                <w:szCs w:val="18"/>
                <w:b w:val="1"/>
                <w:bCs w:val="1"/>
                <w:color w:val="FFFFFF"/>
                <w:w w:val="90"/>
              </w:rPr>
              <w:t>($)</w:t>
            </w:r>
          </w:p>
        </w:tc>
        <w:tc>
          <w:tcPr>
            <w:tcW w:w="20" w:type="dxa"/>
            <w:vAlign w:val="bottom"/>
            <w:shd w:val="clear" w:color="auto" w:fill="47829E"/>
          </w:tcPr>
          <w:p>
            <w:pPr>
              <w:spacing w:after="0"/>
              <w:rPr>
                <w:sz w:val="17"/>
                <w:szCs w:val="17"/>
                <w:color w:val="auto"/>
              </w:rPr>
            </w:pPr>
          </w:p>
        </w:tc>
      </w:tr>
      <w:tr>
        <w:trPr>
          <w:trHeight w:val="235"/>
        </w:trPr>
        <w:tc>
          <w:tcPr>
            <w:tcW w:w="3540" w:type="dxa"/>
            <w:vAlign w:val="bottom"/>
            <w:shd w:val="clear" w:color="auto" w:fill="47829E"/>
          </w:tcPr>
          <w:p>
            <w:pPr>
              <w:ind w:left="120"/>
              <w:spacing w:after="0"/>
              <w:rPr>
                <w:sz w:val="20"/>
                <w:szCs w:val="20"/>
                <w:color w:val="auto"/>
              </w:rPr>
            </w:pPr>
            <w:r>
              <w:rPr>
                <w:rFonts w:ascii="Arial" w:cs="Arial" w:eastAsia="Arial" w:hAnsi="Arial"/>
                <w:sz w:val="18"/>
                <w:szCs w:val="18"/>
                <w:b w:val="1"/>
                <w:bCs w:val="1"/>
                <w:color w:val="FFFFFF"/>
              </w:rPr>
              <w:t>(a)</w:t>
            </w:r>
          </w:p>
        </w:tc>
        <w:tc>
          <w:tcPr>
            <w:tcW w:w="2200" w:type="dxa"/>
            <w:vAlign w:val="bottom"/>
            <w:shd w:val="clear" w:color="auto" w:fill="47829E"/>
          </w:tcPr>
          <w:p>
            <w:pPr>
              <w:jc w:val="center"/>
              <w:ind w:left="52"/>
              <w:spacing w:after="0"/>
              <w:rPr>
                <w:sz w:val="20"/>
                <w:szCs w:val="20"/>
                <w:color w:val="auto"/>
              </w:rPr>
            </w:pPr>
            <w:r>
              <w:rPr>
                <w:rFonts w:ascii="Arial" w:cs="Arial" w:eastAsia="Arial" w:hAnsi="Arial"/>
                <w:sz w:val="18"/>
                <w:szCs w:val="18"/>
                <w:b w:val="1"/>
                <w:bCs w:val="1"/>
                <w:color w:val="FFFFFF"/>
                <w:w w:val="95"/>
              </w:rPr>
              <w:t>(b)</w:t>
            </w:r>
          </w:p>
        </w:tc>
        <w:tc>
          <w:tcPr>
            <w:tcW w:w="2020" w:type="dxa"/>
            <w:vAlign w:val="bottom"/>
            <w:shd w:val="clear" w:color="auto" w:fill="47829E"/>
          </w:tcPr>
          <w:p>
            <w:pPr>
              <w:ind w:left="840"/>
              <w:spacing w:after="0"/>
              <w:rPr>
                <w:sz w:val="20"/>
                <w:szCs w:val="20"/>
                <w:color w:val="auto"/>
              </w:rPr>
            </w:pPr>
            <w:r>
              <w:rPr>
                <w:rFonts w:ascii="Arial" w:cs="Arial" w:eastAsia="Arial" w:hAnsi="Arial"/>
                <w:sz w:val="18"/>
                <w:szCs w:val="18"/>
                <w:b w:val="1"/>
                <w:bCs w:val="1"/>
                <w:color w:val="FFFFFF"/>
              </w:rPr>
              <w:t>(c)</w:t>
            </w:r>
          </w:p>
        </w:tc>
        <w:tc>
          <w:tcPr>
            <w:tcW w:w="1820" w:type="dxa"/>
            <w:vAlign w:val="bottom"/>
            <w:shd w:val="clear" w:color="auto" w:fill="47829E"/>
          </w:tcPr>
          <w:p>
            <w:pPr>
              <w:jc w:val="center"/>
              <w:ind w:right="32"/>
              <w:spacing w:after="0"/>
              <w:rPr>
                <w:sz w:val="20"/>
                <w:szCs w:val="20"/>
                <w:color w:val="auto"/>
              </w:rPr>
            </w:pPr>
            <w:r>
              <w:rPr>
                <w:rFonts w:ascii="Arial" w:cs="Arial" w:eastAsia="Arial" w:hAnsi="Arial"/>
                <w:sz w:val="18"/>
                <w:szCs w:val="18"/>
                <w:b w:val="1"/>
                <w:bCs w:val="1"/>
                <w:color w:val="FFFFFF"/>
                <w:w w:val="95"/>
              </w:rPr>
              <w:t>(d)</w:t>
            </w:r>
          </w:p>
        </w:tc>
        <w:tc>
          <w:tcPr>
            <w:tcW w:w="1860" w:type="dxa"/>
            <w:vAlign w:val="bottom"/>
            <w:gridSpan w:val="2"/>
            <w:shd w:val="clear" w:color="auto" w:fill="47829E"/>
          </w:tcPr>
          <w:p>
            <w:pPr>
              <w:jc w:val="center"/>
              <w:spacing w:after="0"/>
              <w:rPr>
                <w:sz w:val="20"/>
                <w:szCs w:val="20"/>
                <w:color w:val="auto"/>
              </w:rPr>
            </w:pPr>
            <w:r>
              <w:rPr>
                <w:rFonts w:ascii="Arial" w:cs="Arial" w:eastAsia="Arial" w:hAnsi="Arial"/>
                <w:sz w:val="18"/>
                <w:szCs w:val="18"/>
                <w:b w:val="1"/>
                <w:bCs w:val="1"/>
                <w:color w:val="FFFFFF"/>
                <w:w w:val="90"/>
              </w:rPr>
              <w:t>(e)</w:t>
            </w:r>
          </w:p>
        </w:tc>
      </w:tr>
      <w:tr>
        <w:trPr>
          <w:trHeight w:val="203"/>
        </w:trPr>
        <w:tc>
          <w:tcPr>
            <w:tcW w:w="354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C. Howard Nye</w:t>
            </w:r>
          </w:p>
        </w:tc>
        <w:tc>
          <w:tcPr>
            <w:tcW w:w="2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8,286</w:t>
            </w:r>
          </w:p>
        </w:tc>
        <w:tc>
          <w:tcPr>
            <w:tcW w:w="18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831,584</w:t>
            </w:r>
          </w:p>
        </w:tc>
        <w:tc>
          <w:tcPr>
            <w:tcW w:w="20" w:type="dxa"/>
            <w:vAlign w:val="bottom"/>
          </w:tcPr>
          <w:p>
            <w:pPr>
              <w:spacing w:after="0"/>
              <w:rPr>
                <w:sz w:val="17"/>
                <w:szCs w:val="17"/>
                <w:color w:val="auto"/>
              </w:rPr>
            </w:pPr>
          </w:p>
        </w:tc>
      </w:tr>
      <w:tr>
        <w:trPr>
          <w:trHeight w:val="203"/>
        </w:trPr>
        <w:tc>
          <w:tcPr>
            <w:tcW w:w="3540" w:type="dxa"/>
            <w:vAlign w:val="bottom"/>
            <w:shd w:val="clear" w:color="auto" w:fill="E3ECF0"/>
          </w:tcPr>
          <w:p>
            <w:pPr>
              <w:ind w:left="120"/>
              <w:spacing w:after="0" w:line="202" w:lineRule="exact"/>
              <w:rPr>
                <w:sz w:val="20"/>
                <w:szCs w:val="20"/>
                <w:color w:val="auto"/>
              </w:rPr>
            </w:pPr>
            <w:r>
              <w:rPr>
                <w:rFonts w:ascii="Arial" w:cs="Arial" w:eastAsia="Arial" w:hAnsi="Arial"/>
                <w:sz w:val="18"/>
                <w:szCs w:val="18"/>
                <w:b w:val="1"/>
                <w:bCs w:val="1"/>
                <w:color w:val="auto"/>
              </w:rPr>
              <w:t>Anne H. Lloyd</w:t>
            </w:r>
          </w:p>
        </w:tc>
        <w:tc>
          <w:tcPr>
            <w:tcW w:w="2200" w:type="dxa"/>
            <w:vAlign w:val="bottom"/>
            <w:shd w:val="clear" w:color="auto" w:fill="E3ECF0"/>
          </w:tcPr>
          <w:p>
            <w:pPr>
              <w:jc w:val="right"/>
              <w:ind w:right="252"/>
              <w:spacing w:after="0" w:line="202" w:lineRule="exact"/>
              <w:rPr>
                <w:sz w:val="20"/>
                <w:szCs w:val="20"/>
                <w:color w:val="auto"/>
              </w:rPr>
            </w:pPr>
            <w:r>
              <w:rPr>
                <w:rFonts w:ascii="Arial" w:cs="Arial" w:eastAsia="Arial" w:hAnsi="Arial"/>
                <w:sz w:val="18"/>
                <w:szCs w:val="18"/>
                <w:color w:val="auto"/>
              </w:rPr>
              <w:t>16,815</w:t>
            </w:r>
          </w:p>
        </w:tc>
        <w:tc>
          <w:tcPr>
            <w:tcW w:w="2020" w:type="dxa"/>
            <w:vAlign w:val="bottom"/>
            <w:shd w:val="clear" w:color="auto" w:fill="E3ECF0"/>
          </w:tcPr>
          <w:p>
            <w:pPr>
              <w:ind w:left="840"/>
              <w:spacing w:after="0" w:line="202" w:lineRule="exact"/>
              <w:rPr>
                <w:sz w:val="20"/>
                <w:szCs w:val="20"/>
                <w:color w:val="auto"/>
              </w:rPr>
            </w:pPr>
            <w:r>
              <w:rPr>
                <w:rFonts w:ascii="Arial" w:cs="Arial" w:eastAsia="Arial" w:hAnsi="Arial"/>
                <w:sz w:val="18"/>
                <w:szCs w:val="18"/>
                <w:color w:val="auto"/>
              </w:rPr>
              <w:t>1,060,138</w:t>
            </w:r>
          </w:p>
        </w:tc>
        <w:tc>
          <w:tcPr>
            <w:tcW w:w="1820" w:type="dxa"/>
            <w:vAlign w:val="bottom"/>
            <w:shd w:val="clear" w:color="auto" w:fill="E3ECF0"/>
          </w:tcPr>
          <w:p>
            <w:pPr>
              <w:jc w:val="right"/>
              <w:ind w:right="252"/>
              <w:spacing w:after="0" w:line="202" w:lineRule="exact"/>
              <w:rPr>
                <w:sz w:val="20"/>
                <w:szCs w:val="20"/>
                <w:color w:val="auto"/>
              </w:rPr>
            </w:pPr>
            <w:r>
              <w:rPr>
                <w:rFonts w:ascii="Arial" w:cs="Arial" w:eastAsia="Arial" w:hAnsi="Arial"/>
                <w:sz w:val="18"/>
                <w:szCs w:val="18"/>
                <w:color w:val="auto"/>
              </w:rPr>
              <w:t>2,589</w:t>
            </w:r>
          </w:p>
        </w:tc>
        <w:tc>
          <w:tcPr>
            <w:tcW w:w="1840" w:type="dxa"/>
            <w:vAlign w:val="bottom"/>
            <w:shd w:val="clear" w:color="auto" w:fill="E3ECF0"/>
          </w:tcPr>
          <w:p>
            <w:pPr>
              <w:jc w:val="right"/>
              <w:ind w:right="133"/>
              <w:spacing w:after="0" w:line="202" w:lineRule="exact"/>
              <w:rPr>
                <w:sz w:val="20"/>
                <w:szCs w:val="20"/>
                <w:color w:val="auto"/>
              </w:rPr>
            </w:pPr>
            <w:r>
              <w:rPr>
                <w:rFonts w:ascii="Arial" w:cs="Arial" w:eastAsia="Arial" w:hAnsi="Arial"/>
                <w:sz w:val="18"/>
                <w:szCs w:val="18"/>
                <w:color w:val="auto"/>
              </w:rPr>
              <w:t>270,729</w:t>
            </w:r>
          </w:p>
        </w:tc>
        <w:tc>
          <w:tcPr>
            <w:tcW w:w="20" w:type="dxa"/>
            <w:vAlign w:val="bottom"/>
          </w:tcPr>
          <w:p>
            <w:pPr>
              <w:spacing w:after="0"/>
              <w:rPr>
                <w:sz w:val="17"/>
                <w:szCs w:val="17"/>
                <w:color w:val="auto"/>
              </w:rPr>
            </w:pPr>
          </w:p>
        </w:tc>
      </w:tr>
      <w:tr>
        <w:trPr>
          <w:trHeight w:val="203"/>
        </w:trPr>
        <w:tc>
          <w:tcPr>
            <w:tcW w:w="354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Roselyn R. Bar</w:t>
            </w:r>
          </w:p>
        </w:tc>
        <w:tc>
          <w:tcPr>
            <w:tcW w:w="22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15,608</w:t>
            </w:r>
          </w:p>
        </w:tc>
        <w:tc>
          <w:tcPr>
            <w:tcW w:w="2020" w:type="dxa"/>
            <w:vAlign w:val="bottom"/>
          </w:tcPr>
          <w:p>
            <w:pPr>
              <w:ind w:left="840"/>
              <w:spacing w:after="0" w:line="202" w:lineRule="exact"/>
              <w:rPr>
                <w:sz w:val="20"/>
                <w:szCs w:val="20"/>
                <w:color w:val="auto"/>
              </w:rPr>
            </w:pPr>
            <w:r>
              <w:rPr>
                <w:rFonts w:ascii="Arial" w:cs="Arial" w:eastAsia="Arial" w:hAnsi="Arial"/>
                <w:sz w:val="18"/>
                <w:szCs w:val="18"/>
                <w:color w:val="auto"/>
              </w:rPr>
              <w:t>1,045,543</w:t>
            </w:r>
          </w:p>
        </w:tc>
        <w:tc>
          <w:tcPr>
            <w:tcW w:w="18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2,183</w:t>
            </w:r>
          </w:p>
        </w:tc>
        <w:tc>
          <w:tcPr>
            <w:tcW w:w="18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224,491</w:t>
            </w:r>
          </w:p>
        </w:tc>
        <w:tc>
          <w:tcPr>
            <w:tcW w:w="20" w:type="dxa"/>
            <w:vAlign w:val="bottom"/>
          </w:tcPr>
          <w:p>
            <w:pPr>
              <w:spacing w:after="0"/>
              <w:rPr>
                <w:sz w:val="17"/>
                <w:szCs w:val="17"/>
                <w:color w:val="auto"/>
              </w:rPr>
            </w:pPr>
          </w:p>
        </w:tc>
      </w:tr>
      <w:tr>
        <w:trPr>
          <w:trHeight w:val="203"/>
        </w:trPr>
        <w:tc>
          <w:tcPr>
            <w:tcW w:w="3540" w:type="dxa"/>
            <w:vAlign w:val="bottom"/>
            <w:shd w:val="clear" w:color="auto" w:fill="E3ECF0"/>
          </w:tcPr>
          <w:p>
            <w:pPr>
              <w:ind w:left="120"/>
              <w:spacing w:after="0" w:line="202" w:lineRule="exact"/>
              <w:rPr>
                <w:sz w:val="20"/>
                <w:szCs w:val="20"/>
                <w:color w:val="auto"/>
              </w:rPr>
            </w:pPr>
            <w:r>
              <w:rPr>
                <w:rFonts w:ascii="Arial" w:cs="Arial" w:eastAsia="Arial" w:hAnsi="Arial"/>
                <w:sz w:val="18"/>
                <w:szCs w:val="18"/>
                <w:b w:val="1"/>
                <w:bCs w:val="1"/>
                <w:color w:val="auto"/>
              </w:rPr>
              <w:t>Donald A. McCunniff</w:t>
            </w:r>
          </w:p>
        </w:tc>
        <w:tc>
          <w:tcPr>
            <w:tcW w:w="2200" w:type="dxa"/>
            <w:vAlign w:val="bottom"/>
            <w:shd w:val="clear" w:color="auto" w:fill="E3ECF0"/>
          </w:tcPr>
          <w:p>
            <w:pPr>
              <w:spacing w:after="0"/>
              <w:rPr>
                <w:sz w:val="17"/>
                <w:szCs w:val="17"/>
                <w:color w:val="auto"/>
              </w:rPr>
            </w:pPr>
          </w:p>
        </w:tc>
        <w:tc>
          <w:tcPr>
            <w:tcW w:w="2020" w:type="dxa"/>
            <w:vAlign w:val="bottom"/>
            <w:shd w:val="clear" w:color="auto" w:fill="E3ECF0"/>
          </w:tcPr>
          <w:p>
            <w:pPr>
              <w:spacing w:after="0"/>
              <w:rPr>
                <w:sz w:val="17"/>
                <w:szCs w:val="17"/>
                <w:color w:val="auto"/>
              </w:rPr>
            </w:pPr>
          </w:p>
        </w:tc>
        <w:tc>
          <w:tcPr>
            <w:tcW w:w="1820" w:type="dxa"/>
            <w:vAlign w:val="bottom"/>
            <w:shd w:val="clear" w:color="auto" w:fill="E3ECF0"/>
          </w:tcPr>
          <w:p>
            <w:pPr>
              <w:spacing w:after="0"/>
              <w:rPr>
                <w:sz w:val="17"/>
                <w:szCs w:val="17"/>
                <w:color w:val="auto"/>
              </w:rPr>
            </w:pPr>
          </w:p>
        </w:tc>
        <w:tc>
          <w:tcPr>
            <w:tcW w:w="1840" w:type="dxa"/>
            <w:vAlign w:val="bottom"/>
            <w:shd w:val="clear" w:color="auto" w:fill="E3ECF0"/>
          </w:tcPr>
          <w:p>
            <w:pPr>
              <w:spacing w:after="0"/>
              <w:rPr>
                <w:sz w:val="17"/>
                <w:szCs w:val="17"/>
                <w:color w:val="auto"/>
              </w:rPr>
            </w:pPr>
          </w:p>
        </w:tc>
        <w:tc>
          <w:tcPr>
            <w:tcW w:w="20" w:type="dxa"/>
            <w:vAlign w:val="bottom"/>
          </w:tcPr>
          <w:p>
            <w:pPr>
              <w:spacing w:after="0"/>
              <w:rPr>
                <w:sz w:val="17"/>
                <w:szCs w:val="17"/>
                <w:color w:val="auto"/>
              </w:rPr>
            </w:pPr>
          </w:p>
        </w:tc>
      </w:tr>
      <w:tr>
        <w:trPr>
          <w:trHeight w:val="182"/>
        </w:trPr>
        <w:tc>
          <w:tcPr>
            <w:tcW w:w="3540" w:type="dxa"/>
            <w:vAlign w:val="bottom"/>
          </w:tcPr>
          <w:p>
            <w:pPr>
              <w:ind w:left="120"/>
              <w:spacing w:after="0" w:line="182" w:lineRule="exact"/>
              <w:rPr>
                <w:sz w:val="20"/>
                <w:szCs w:val="20"/>
                <w:color w:val="auto"/>
              </w:rPr>
            </w:pPr>
            <w:r>
              <w:rPr>
                <w:rFonts w:ascii="Arial" w:cs="Arial" w:eastAsia="Arial" w:hAnsi="Arial"/>
                <w:sz w:val="18"/>
                <w:szCs w:val="18"/>
                <w:b w:val="1"/>
                <w:bCs w:val="1"/>
                <w:color w:val="auto"/>
              </w:rPr>
              <w:t>Daniel L. Grant</w:t>
            </w:r>
          </w:p>
        </w:tc>
        <w:tc>
          <w:tcPr>
            <w:tcW w:w="2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-1418590</wp:posOffset>
            </wp:positionV>
            <wp:extent cx="7254875" cy="14408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1440815"/>
                    </a:xfrm>
                    <a:prstGeom prst="rect">
                      <a:avLst/>
                    </a:prstGeom>
                    <a:noFill/>
                  </pic:spPr>
                </pic:pic>
              </a:graphicData>
            </a:graphic>
          </wp:anchor>
        </w:drawing>
      </w:r>
    </w:p>
    <w:p>
      <w:pPr>
        <w:spacing w:after="0" w:line="14" w:lineRule="exact"/>
        <w:rPr>
          <w:sz w:val="20"/>
          <w:szCs w:val="20"/>
          <w:color w:val="auto"/>
        </w:rPr>
      </w:pPr>
    </w:p>
    <w:p>
      <w:pPr>
        <w:ind w:left="120" w:right="340" w:hanging="112"/>
        <w:spacing w:after="0" w:line="180" w:lineRule="auto"/>
        <w:tabs>
          <w:tab w:leader="none" w:pos="120" w:val="left"/>
        </w:tabs>
        <w:numPr>
          <w:ilvl w:val="0"/>
          <w:numId w:val="65"/>
        </w:numPr>
        <w:rPr>
          <w:rFonts w:ascii="Arial" w:cs="Arial" w:eastAsia="Arial" w:hAnsi="Arial"/>
          <w:sz w:val="22"/>
          <w:szCs w:val="22"/>
          <w:color w:val="auto"/>
          <w:vertAlign w:val="superscript"/>
        </w:rPr>
      </w:pPr>
      <w:r>
        <w:rPr>
          <w:rFonts w:ascii="Arial" w:cs="Arial" w:eastAsia="Arial" w:hAnsi="Arial"/>
          <w:sz w:val="14"/>
          <w:szCs w:val="14"/>
          <w:color w:val="auto"/>
        </w:rPr>
        <w:t>The amounts in column (e) include the value of restricted stock unit awards at the time of vesting and the appreciation of both mandatory and voluntary contributions under the Incentive Stock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and Other Benefits</w:t>
      </w:r>
    </w:p>
    <w:p>
      <w:pPr>
        <w:spacing w:after="0" w:line="178"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In order to maintain market competitive levels of compensation, we provide retirement and other benefits to the named executive officers and other employees. The benefits under the defined benefit pension plan are more valuable for employees who remain with Martin Marietta for longer periods, thereby furthering Martin Marietta’s objectives of retaining individuals with more expertise in relevant areas and who can participate in management development for purposes of executive succession planning. All of Martin Marietta’s salaried employees in the United States are eligible to participate in the following retirement and other plans. The named executive officers participate in the plans on the same terms as Martin Marietta’s other salaried employees.</w:t>
      </w:r>
    </w:p>
    <w:p>
      <w:pPr>
        <w:spacing w:after="0" w:line="156"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u w:val="single" w:color="auto"/>
          <w:color w:val="auto"/>
        </w:rPr>
        <w:t>Pension Plan.</w:t>
      </w:r>
      <w:r>
        <w:rPr>
          <w:rFonts w:ascii="Arial" w:cs="Arial" w:eastAsia="Arial" w:hAnsi="Arial"/>
          <w:sz w:val="18"/>
          <w:szCs w:val="18"/>
          <w:color w:val="auto"/>
        </w:rPr>
        <w:t xml:space="preserve"> We have a defined benefit pension plan under which eligible full-time salaried employees of Martin Marietta who have completed five continuous years of employment with Martin Marietta, including the named executive officers, earn the right to receive certain benefits upon retirement on a reduced basis at or after age 55 and on an unreduced basis at or after age 62. Retirement benefits are monthly payments for life based on a multiple of the years of service and the final average eligible pay for the five highest consecutive years in the last ten years before retirement, less an offset for social security. The amount is equal to the sum of (A) plus (B) plus (C) below:</w:t>
      </w:r>
    </w:p>
    <w:p>
      <w:pPr>
        <w:spacing w:after="0" w:line="198" w:lineRule="exact"/>
        <w:rPr>
          <w:sz w:val="20"/>
          <w:szCs w:val="20"/>
          <w:color w:val="auto"/>
        </w:rPr>
      </w:pPr>
    </w:p>
    <w:p>
      <w:pPr>
        <w:ind w:left="900" w:right="20" w:hanging="446"/>
        <w:spacing w:after="0" w:line="23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1.165% of the participant’s final average eligible pay up to social security covered compensation, multiplied by the participant’s credited years of service up to 35 years;</w:t>
      </w:r>
    </w:p>
    <w:p>
      <w:pPr>
        <w:spacing w:after="0" w:line="195" w:lineRule="exact"/>
        <w:rPr>
          <w:rFonts w:ascii="Arial" w:cs="Arial" w:eastAsia="Arial" w:hAnsi="Arial"/>
          <w:sz w:val="18"/>
          <w:szCs w:val="18"/>
          <w:color w:val="auto"/>
        </w:rPr>
      </w:pPr>
    </w:p>
    <w:p>
      <w:pPr>
        <w:ind w:left="900" w:right="20" w:hanging="446"/>
        <w:spacing w:after="0" w:line="23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1.50% of the participant’s final average eligible pay in excess of social security covered compensation, multiplied by the participant’s credited years of service up to 35 years;</w:t>
      </w:r>
    </w:p>
    <w:p>
      <w:pPr>
        <w:spacing w:after="0" w:line="195"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1.50% of the participant’s final average eligible pay multiplied by the participant’s credited years of service in excess of 35 years.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40"/>
          </w:cols>
          <w:pgMar w:left="240" w:top="254" w:right="219" w:bottom="1440" w:gutter="0" w:footer="0" w:header="0"/>
        </w:sectPr>
      </w:pPr>
    </w:p>
    <w:bookmarkStart w:id="54" w:name="page55"/>
    <w:bookmarkEnd w:id="54"/>
    <w:p>
      <w:pPr>
        <w:jc w:val="both"/>
        <w:ind w:right="20"/>
        <w:spacing w:after="0" w:line="23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Excess Retirement Plan.</w:t>
      </w:r>
      <w:r>
        <w:rPr>
          <w:rFonts w:ascii="Arial" w:cs="Arial" w:eastAsia="Arial" w:hAnsi="Arial"/>
          <w:sz w:val="18"/>
          <w:szCs w:val="18"/>
          <w:color w:val="auto"/>
        </w:rPr>
        <w:t xml:space="preserve"> We also have a nonqualified restoration plan that covers any employee in the defined benefit pension plan, including the named executive officers, who are highly compensated and whose qualified plan benefit is reduced by Internal Revenue Code benefit or pay limits in Sections 415(b) and 401(a)(17). The plan is based on the same formula as the qualified Pension Plan described above. Benefits under our nonqualified plan are paid from our general assets.</w:t>
      </w:r>
    </w:p>
    <w:p>
      <w:pPr>
        <w:spacing w:after="0" w:line="155"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u w:val="single" w:color="auto"/>
          <w:color w:val="auto"/>
        </w:rPr>
        <w:t>Savings and Investment Plan.</w:t>
      </w:r>
      <w:r>
        <w:rPr>
          <w:rFonts w:ascii="Arial" w:cs="Arial" w:eastAsia="Arial" w:hAnsi="Arial"/>
          <w:sz w:val="18"/>
          <w:szCs w:val="18"/>
          <w:color w:val="auto"/>
        </w:rPr>
        <w:t xml:space="preserve"> The Savings and Investment Plan is a tax-qualified defined contribution retirement savings plan pursuant to which all employees in the United States, including the named executive officers, are eligible to contribute up to 25% or the limit prescribed by the Internal Revenue Service on a ROTH individual retirement account on a before-tax basis and up to an additional 17% on an after-tax basis not to exceed a total of 25%. We match 50% of the first 7% of pay that is contributed by employees to the Savings and Investment Plan up to Internal Revenue Service limitations. All contributions as well as any matching contributions are fully vested upon contribution. Prior to 2015, the Company sponsored two defined contribution savings plans, the Performance Sharing Plan for salaried employees and the Savings and Investment Plan for hourly employees generally. The two plans were merged in 2014.</w:t>
      </w:r>
    </w:p>
    <w:p>
      <w:pPr>
        <w:spacing w:after="0" w:line="155"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u w:val="single" w:color="auto"/>
          <w:color w:val="auto"/>
        </w:rPr>
        <w:t>Retiree Medical.</w:t>
      </w:r>
      <w:r>
        <w:rPr>
          <w:rFonts w:ascii="Arial" w:cs="Arial" w:eastAsia="Arial" w:hAnsi="Arial"/>
          <w:sz w:val="18"/>
          <w:szCs w:val="18"/>
          <w:color w:val="auto"/>
        </w:rPr>
        <w:t xml:space="preserve"> Eligible salaried employees who commenced employment with Martin Marietta prior to December 1, 1999 and who retire with at least 5 years of service are currently eligible for retiree medical benefits for life. Eligible salaried employees who commenced employment with Martin Marietta between December 1, 1999 and December 31, 2001 and who retire with at least 15 years of service are currently eligible for retiree medical benefits until age 65. Eligible employees share the cost of retiree medical based on their years of service and a predetermined cap on total payments by Martin Marietta. Employees who commenced employment with Martin Marietta on or after January 1, 2002 are not eligible for retiree medical benefits. Mr. Nye, Mr. McCunniff and Mr. Grant are not eligible for retiree medical benefits as each commenced employment with Martin Marietta after 2002.</w:t>
      </w:r>
    </w:p>
    <w:p>
      <w:pPr>
        <w:spacing w:after="0" w:line="155"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u w:val="single" w:color="auto"/>
          <w:color w:val="auto"/>
        </w:rPr>
        <w:t>Medical Insurance.</w:t>
      </w:r>
      <w:r>
        <w:rPr>
          <w:rFonts w:ascii="Arial" w:cs="Arial" w:eastAsia="Arial" w:hAnsi="Arial"/>
          <w:sz w:val="16"/>
          <w:szCs w:val="16"/>
          <w:color w:val="auto"/>
        </w:rPr>
        <w:t xml:space="preserve"> Martin Marietta provides an opportunity to all of its salaried employees in the United States and the employees’ immediate family to select health, dental and vision insurance coverage. Martin Marietta pays a portion of the premiums for this insurance for all employees. All employees in the United States, including the named executive officers, pay a portion of the premiums depending on the coverage they choose.</w:t>
      </w:r>
    </w:p>
    <w:p>
      <w:pPr>
        <w:spacing w:after="0" w:line="12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u w:val="single" w:color="auto"/>
          <w:color w:val="auto"/>
        </w:rPr>
        <w:t>Life and Disability Insurance.</w:t>
      </w:r>
      <w:r>
        <w:rPr>
          <w:rFonts w:ascii="Arial" w:cs="Arial" w:eastAsia="Arial" w:hAnsi="Arial"/>
          <w:sz w:val="16"/>
          <w:szCs w:val="16"/>
          <w:color w:val="auto"/>
        </w:rPr>
        <w:t xml:space="preserve"> Martin Marietta provides to all of its salaried employees in the United States, including the named executive officers, long-term disability and life insurance that provides up to 1.5 times base salary at no cost to the employee. All employees in the United States, including the named executive officers, can choose additional coverage and pay a portion of the premiums depending on the coverage they choose. In addition, Martin Marietta pays an amount equal to one year of base salary in the event of death of any active salaried employee.</w:t>
      </w:r>
    </w:p>
    <w:p>
      <w:pPr>
        <w:spacing w:after="0" w:line="129"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u w:val="single" w:color="auto"/>
          <w:color w:val="auto"/>
        </w:rPr>
        <w:t>Housing Allowance and Relocation Costs.</w:t>
      </w:r>
      <w:r>
        <w:rPr>
          <w:rFonts w:ascii="Arial" w:cs="Arial" w:eastAsia="Arial" w:hAnsi="Arial"/>
          <w:sz w:val="18"/>
          <w:szCs w:val="18"/>
          <w:color w:val="auto"/>
        </w:rPr>
        <w:t xml:space="preserve"> Martin Marietta provides relocation benefits, including a housing allowance, to certain employees upon their employment with Martin Marietta or in conjunction with a job relocation or promotion.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7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table below shows the present value of accumulated benefits payable to each of the named executive officers, including the number of years of service credited to each such named executive officer, under our Pension Plan and Supplemental Excess Retirement Plan, determined using interest rate and mortality rate assumptions consistent with those used in Martin Marietta’s financial statements.</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PENSION BENEFITS TABLE</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320" w:type="dxa"/>
            <w:vAlign w:val="bottom"/>
            <w:tcBorders>
              <w:left w:val="single" w:sz="8" w:color="47829E"/>
              <w:right w:val="single" w:sz="8" w:color="47829E"/>
            </w:tcBorders>
            <w:shd w:val="clear" w:color="auto" w:fill="47829E"/>
          </w:tcPr>
          <w:p>
            <w:pPr>
              <w:spacing w:after="0"/>
              <w:rPr>
                <w:sz w:val="14"/>
                <w:szCs w:val="14"/>
                <w:color w:val="auto"/>
              </w:rPr>
            </w:pPr>
          </w:p>
        </w:tc>
        <w:tc>
          <w:tcPr>
            <w:tcW w:w="1080" w:type="dxa"/>
            <w:vAlign w:val="bottom"/>
            <w:tcBorders>
              <w:right w:val="single" w:sz="8" w:color="47829E"/>
            </w:tcBorders>
            <w:shd w:val="clear" w:color="auto" w:fill="47829E"/>
          </w:tcPr>
          <w:p>
            <w:pPr>
              <w:spacing w:after="0"/>
              <w:rPr>
                <w:sz w:val="14"/>
                <w:szCs w:val="14"/>
                <w:color w:val="auto"/>
              </w:rPr>
            </w:pPr>
          </w:p>
        </w:tc>
        <w:tc>
          <w:tcPr>
            <w:tcW w:w="16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95"/>
              </w:rPr>
              <w:t>Numbers of Years</w:t>
            </w:r>
          </w:p>
        </w:tc>
        <w:tc>
          <w:tcPr>
            <w:tcW w:w="18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96"/>
              </w:rPr>
              <w:t>Present Value of</w:t>
            </w:r>
          </w:p>
        </w:tc>
        <w:tc>
          <w:tcPr>
            <w:tcW w:w="1600" w:type="dxa"/>
            <w:vAlign w:val="bottom"/>
            <w:tcBorders>
              <w:right w:val="single" w:sz="8" w:color="47829E"/>
            </w:tcBorders>
            <w:shd w:val="clear" w:color="auto" w:fill="47829E"/>
          </w:tcPr>
          <w:p>
            <w:pPr>
              <w:jc w:val="center"/>
              <w:ind w:right="12"/>
              <w:spacing w:after="0"/>
              <w:rPr>
                <w:sz w:val="20"/>
                <w:szCs w:val="20"/>
                <w:color w:val="auto"/>
              </w:rPr>
            </w:pPr>
            <w:r>
              <w:rPr>
                <w:rFonts w:ascii="Arial" w:cs="Arial" w:eastAsia="Arial" w:hAnsi="Arial"/>
                <w:sz w:val="14"/>
                <w:szCs w:val="14"/>
                <w:b w:val="1"/>
                <w:bCs w:val="1"/>
                <w:color w:val="FFFFFF"/>
                <w:w w:val="97"/>
              </w:rPr>
              <w:t>Payments During</w:t>
            </w:r>
          </w:p>
        </w:tc>
      </w:tr>
      <w:tr>
        <w:trPr>
          <w:trHeight w:val="138"/>
        </w:trPr>
        <w:tc>
          <w:tcPr>
            <w:tcW w:w="5320" w:type="dxa"/>
            <w:vAlign w:val="bottom"/>
            <w:tcBorders>
              <w:left w:val="single" w:sz="8" w:color="47829E"/>
              <w:right w:val="single" w:sz="8" w:color="47829E"/>
            </w:tcBorders>
            <w:shd w:val="clear" w:color="auto" w:fill="47829E"/>
          </w:tcPr>
          <w:p>
            <w:pPr>
              <w:spacing w:after="0"/>
              <w:rPr>
                <w:sz w:val="12"/>
                <w:szCs w:val="12"/>
                <w:color w:val="auto"/>
              </w:rPr>
            </w:pPr>
          </w:p>
        </w:tc>
        <w:tc>
          <w:tcPr>
            <w:tcW w:w="1080" w:type="dxa"/>
            <w:vAlign w:val="bottom"/>
            <w:tcBorders>
              <w:right w:val="single" w:sz="8" w:color="47829E"/>
            </w:tcBorders>
            <w:shd w:val="clear" w:color="auto" w:fill="47829E"/>
          </w:tcPr>
          <w:p>
            <w:pPr>
              <w:spacing w:after="0"/>
              <w:rPr>
                <w:sz w:val="12"/>
                <w:szCs w:val="12"/>
                <w:color w:val="auto"/>
              </w:rPr>
            </w:pPr>
          </w:p>
        </w:tc>
        <w:tc>
          <w:tcPr>
            <w:tcW w:w="1620" w:type="dxa"/>
            <w:vAlign w:val="bottom"/>
            <w:tcBorders>
              <w:right w:val="single" w:sz="8" w:color="47829E"/>
            </w:tcBorders>
            <w:shd w:val="clear" w:color="auto" w:fill="47829E"/>
          </w:tcPr>
          <w:p>
            <w:pPr>
              <w:jc w:val="center"/>
              <w:spacing w:after="0" w:line="139" w:lineRule="exact"/>
              <w:rPr>
                <w:sz w:val="20"/>
                <w:szCs w:val="20"/>
                <w:color w:val="auto"/>
              </w:rPr>
            </w:pPr>
            <w:r>
              <w:rPr>
                <w:rFonts w:ascii="Arial" w:cs="Arial" w:eastAsia="Arial" w:hAnsi="Arial"/>
                <w:sz w:val="14"/>
                <w:szCs w:val="14"/>
                <w:b w:val="1"/>
                <w:bCs w:val="1"/>
                <w:color w:val="FFFFFF"/>
                <w:w w:val="95"/>
              </w:rPr>
              <w:t>Credited Service</w:t>
            </w:r>
          </w:p>
        </w:tc>
        <w:tc>
          <w:tcPr>
            <w:tcW w:w="1820" w:type="dxa"/>
            <w:vAlign w:val="bottom"/>
            <w:tcBorders>
              <w:right w:val="single" w:sz="8" w:color="47829E"/>
            </w:tcBorders>
            <w:shd w:val="clear" w:color="auto" w:fill="47829E"/>
          </w:tcPr>
          <w:p>
            <w:pPr>
              <w:jc w:val="center"/>
              <w:spacing w:after="0" w:line="139" w:lineRule="exact"/>
              <w:rPr>
                <w:sz w:val="20"/>
                <w:szCs w:val="20"/>
                <w:color w:val="auto"/>
              </w:rPr>
            </w:pPr>
            <w:r>
              <w:rPr>
                <w:rFonts w:ascii="Arial" w:cs="Arial" w:eastAsia="Arial" w:hAnsi="Arial"/>
                <w:sz w:val="14"/>
                <w:szCs w:val="14"/>
                <w:b w:val="1"/>
                <w:bCs w:val="1"/>
                <w:color w:val="FFFFFF"/>
                <w:w w:val="96"/>
              </w:rPr>
              <w:t>Accumulated Benefit</w:t>
            </w:r>
          </w:p>
        </w:tc>
        <w:tc>
          <w:tcPr>
            <w:tcW w:w="1600" w:type="dxa"/>
            <w:vAlign w:val="bottom"/>
            <w:tcBorders>
              <w:right w:val="single" w:sz="8" w:color="47829E"/>
            </w:tcBorders>
            <w:shd w:val="clear" w:color="auto" w:fill="47829E"/>
          </w:tcPr>
          <w:p>
            <w:pPr>
              <w:jc w:val="center"/>
              <w:spacing w:after="0" w:line="139" w:lineRule="exact"/>
              <w:rPr>
                <w:sz w:val="20"/>
                <w:szCs w:val="20"/>
                <w:color w:val="auto"/>
              </w:rPr>
            </w:pPr>
            <w:r>
              <w:rPr>
                <w:rFonts w:ascii="Arial" w:cs="Arial" w:eastAsia="Arial" w:hAnsi="Arial"/>
                <w:sz w:val="14"/>
                <w:szCs w:val="14"/>
                <w:b w:val="1"/>
                <w:bCs w:val="1"/>
                <w:color w:val="FFFFFF"/>
                <w:w w:val="95"/>
              </w:rPr>
              <w:t>Last Fiscal Year</w:t>
            </w:r>
          </w:p>
        </w:tc>
      </w:tr>
      <w:tr>
        <w:trPr>
          <w:trHeight w:val="159"/>
        </w:trPr>
        <w:tc>
          <w:tcPr>
            <w:tcW w:w="5320" w:type="dxa"/>
            <w:vAlign w:val="bottom"/>
            <w:tcBorders>
              <w:left w:val="single" w:sz="8" w:color="47829E"/>
              <w:right w:val="single" w:sz="8" w:color="47829E"/>
            </w:tcBorders>
            <w:shd w:val="clear" w:color="auto" w:fill="47829E"/>
          </w:tcPr>
          <w:p>
            <w:pPr>
              <w:ind w:left="120"/>
              <w:spacing w:after="0" w:line="159" w:lineRule="exact"/>
              <w:rPr>
                <w:sz w:val="20"/>
                <w:szCs w:val="20"/>
                <w:color w:val="auto"/>
              </w:rPr>
            </w:pPr>
            <w:r>
              <w:rPr>
                <w:rFonts w:ascii="Arial" w:cs="Arial" w:eastAsia="Arial" w:hAnsi="Arial"/>
                <w:sz w:val="14"/>
                <w:szCs w:val="14"/>
                <w:b w:val="1"/>
                <w:bCs w:val="1"/>
                <w:color w:val="FFFFFF"/>
              </w:rPr>
              <w:t>Name</w:t>
            </w:r>
          </w:p>
        </w:tc>
        <w:tc>
          <w:tcPr>
            <w:tcW w:w="108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4"/>
                <w:szCs w:val="14"/>
                <w:b w:val="1"/>
                <w:bCs w:val="1"/>
                <w:color w:val="FFFFFF"/>
                <w:w w:val="94"/>
              </w:rPr>
              <w:t>Plan Name</w:t>
            </w:r>
          </w:p>
        </w:tc>
        <w:tc>
          <w:tcPr>
            <w:tcW w:w="162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4"/>
                <w:szCs w:val="14"/>
                <w:b w:val="1"/>
                <w:bCs w:val="1"/>
                <w:color w:val="FFFFFF"/>
                <w:w w:val="93"/>
              </w:rPr>
              <w:t>(#)</w:t>
            </w:r>
          </w:p>
        </w:tc>
        <w:tc>
          <w:tcPr>
            <w:tcW w:w="1820" w:type="dxa"/>
            <w:vAlign w:val="bottom"/>
            <w:tcBorders>
              <w:right w:val="single" w:sz="8" w:color="47829E"/>
            </w:tcBorders>
            <w:shd w:val="clear" w:color="auto" w:fill="47829E"/>
          </w:tcPr>
          <w:p>
            <w:pPr>
              <w:jc w:val="center"/>
              <w:spacing w:after="0" w:line="159"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8"/>
                <w:szCs w:val="18"/>
                <w:b w:val="1"/>
                <w:bCs w:val="1"/>
                <w:color w:val="FFFFFF"/>
                <w:vertAlign w:val="superscript"/>
              </w:rPr>
              <w:t>1</w:t>
            </w:r>
          </w:p>
        </w:tc>
        <w:tc>
          <w:tcPr>
            <w:tcW w:w="1600" w:type="dxa"/>
            <w:vAlign w:val="bottom"/>
            <w:tcBorders>
              <w:right w:val="single" w:sz="8" w:color="47829E"/>
            </w:tcBorders>
            <w:shd w:val="clear" w:color="auto" w:fill="47829E"/>
          </w:tcPr>
          <w:p>
            <w:pPr>
              <w:jc w:val="center"/>
              <w:ind w:right="12"/>
              <w:spacing w:after="0" w:line="159" w:lineRule="exact"/>
              <w:rPr>
                <w:sz w:val="20"/>
                <w:szCs w:val="20"/>
                <w:color w:val="auto"/>
              </w:rPr>
            </w:pPr>
            <w:r>
              <w:rPr>
                <w:rFonts w:ascii="Arial" w:cs="Arial" w:eastAsia="Arial" w:hAnsi="Arial"/>
                <w:sz w:val="14"/>
                <w:szCs w:val="14"/>
                <w:b w:val="1"/>
                <w:bCs w:val="1"/>
                <w:color w:val="FFFFFF"/>
                <w:w w:val="93"/>
              </w:rPr>
              <w:t>($)</w:t>
            </w:r>
          </w:p>
        </w:tc>
      </w:tr>
      <w:tr>
        <w:trPr>
          <w:trHeight w:val="179"/>
        </w:trPr>
        <w:tc>
          <w:tcPr>
            <w:tcW w:w="5320" w:type="dxa"/>
            <w:vAlign w:val="bottom"/>
            <w:tcBorders>
              <w:left w:val="single" w:sz="8" w:color="47829E"/>
              <w:right w:val="single" w:sz="8" w:color="47829E"/>
            </w:tcBorders>
            <w:shd w:val="clear" w:color="auto" w:fill="47829E"/>
          </w:tcPr>
          <w:p>
            <w:pPr>
              <w:ind w:left="120"/>
              <w:spacing w:after="0"/>
              <w:rPr>
                <w:sz w:val="20"/>
                <w:szCs w:val="20"/>
                <w:color w:val="auto"/>
              </w:rPr>
            </w:pPr>
            <w:r>
              <w:rPr>
                <w:rFonts w:ascii="Arial" w:cs="Arial" w:eastAsia="Arial" w:hAnsi="Arial"/>
                <w:sz w:val="14"/>
                <w:szCs w:val="14"/>
                <w:b w:val="1"/>
                <w:bCs w:val="1"/>
                <w:color w:val="FFFFFF"/>
              </w:rPr>
              <w:t>(a)</w:t>
            </w:r>
          </w:p>
        </w:tc>
        <w:tc>
          <w:tcPr>
            <w:tcW w:w="10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89"/>
              </w:rPr>
              <w:t>(b)</w:t>
            </w:r>
          </w:p>
        </w:tc>
        <w:tc>
          <w:tcPr>
            <w:tcW w:w="16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93"/>
              </w:rPr>
              <w:t>(c)</w:t>
            </w:r>
          </w:p>
        </w:tc>
        <w:tc>
          <w:tcPr>
            <w:tcW w:w="18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rPr>
              <w:t>(d)</w:t>
            </w:r>
          </w:p>
        </w:tc>
        <w:tc>
          <w:tcPr>
            <w:tcW w:w="1600" w:type="dxa"/>
            <w:vAlign w:val="bottom"/>
            <w:tcBorders>
              <w:right w:val="single" w:sz="8" w:color="47829E"/>
            </w:tcBorders>
            <w:shd w:val="clear" w:color="auto" w:fill="47829E"/>
          </w:tcPr>
          <w:p>
            <w:pPr>
              <w:jc w:val="center"/>
              <w:ind w:right="12"/>
              <w:spacing w:after="0"/>
              <w:rPr>
                <w:sz w:val="20"/>
                <w:szCs w:val="20"/>
                <w:color w:val="auto"/>
              </w:rPr>
            </w:pPr>
            <w:r>
              <w:rPr>
                <w:rFonts w:ascii="Arial" w:cs="Arial" w:eastAsia="Arial" w:hAnsi="Arial"/>
                <w:sz w:val="14"/>
                <w:szCs w:val="14"/>
                <w:b w:val="1"/>
                <w:bCs w:val="1"/>
                <w:color w:val="FFFFFF"/>
                <w:w w:val="93"/>
              </w:rPr>
              <w:t>(e)</w:t>
            </w:r>
          </w:p>
        </w:tc>
      </w:tr>
      <w:tr>
        <w:trPr>
          <w:trHeight w:val="148"/>
        </w:trPr>
        <w:tc>
          <w:tcPr>
            <w:tcW w:w="5320" w:type="dxa"/>
            <w:vAlign w:val="bottom"/>
            <w:tcBorders>
              <w:left w:val="single" w:sz="8" w:color="47829E"/>
              <w:right w:val="single" w:sz="8" w:color="47829E"/>
            </w:tcBorders>
          </w:tcPr>
          <w:p>
            <w:pPr>
              <w:ind w:left="120"/>
              <w:spacing w:after="0" w:line="148" w:lineRule="exact"/>
              <w:rPr>
                <w:sz w:val="20"/>
                <w:szCs w:val="20"/>
                <w:color w:val="auto"/>
              </w:rPr>
            </w:pPr>
            <w:r>
              <w:rPr>
                <w:rFonts w:ascii="Arial" w:cs="Arial" w:eastAsia="Arial" w:hAnsi="Arial"/>
                <w:sz w:val="14"/>
                <w:szCs w:val="14"/>
                <w:b w:val="1"/>
                <w:bCs w:val="1"/>
                <w:color w:val="auto"/>
              </w:rPr>
              <w:t>C. Howard Nye</w:t>
            </w:r>
          </w:p>
        </w:tc>
        <w:tc>
          <w:tcPr>
            <w:tcW w:w="1080" w:type="dxa"/>
            <w:vAlign w:val="bottom"/>
            <w:tcBorders>
              <w:right w:val="single" w:sz="8" w:color="47829E"/>
            </w:tcBorders>
          </w:tcPr>
          <w:p>
            <w:pPr>
              <w:jc w:val="center"/>
              <w:spacing w:after="0" w:line="148" w:lineRule="exact"/>
              <w:rPr>
                <w:sz w:val="20"/>
                <w:szCs w:val="20"/>
                <w:color w:val="auto"/>
              </w:rPr>
            </w:pPr>
            <w:r>
              <w:rPr>
                <w:rFonts w:ascii="Arial" w:cs="Arial" w:eastAsia="Arial" w:hAnsi="Arial"/>
                <w:sz w:val="14"/>
                <w:szCs w:val="14"/>
                <w:color w:val="auto"/>
                <w:w w:val="96"/>
              </w:rPr>
              <w:t>Pension Plan</w:t>
            </w:r>
          </w:p>
        </w:tc>
        <w:tc>
          <w:tcPr>
            <w:tcW w:w="1620" w:type="dxa"/>
            <w:vAlign w:val="bottom"/>
            <w:tcBorders>
              <w:right w:val="single" w:sz="8" w:color="47829E"/>
            </w:tcBorders>
          </w:tcPr>
          <w:p>
            <w:pPr>
              <w:jc w:val="right"/>
              <w:ind w:right="32"/>
              <w:spacing w:after="0" w:line="148" w:lineRule="exact"/>
              <w:rPr>
                <w:sz w:val="20"/>
                <w:szCs w:val="20"/>
                <w:color w:val="auto"/>
              </w:rPr>
            </w:pPr>
            <w:r>
              <w:rPr>
                <w:rFonts w:ascii="Arial" w:cs="Arial" w:eastAsia="Arial" w:hAnsi="Arial"/>
                <w:sz w:val="14"/>
                <w:szCs w:val="14"/>
                <w:color w:val="auto"/>
              </w:rPr>
              <w:t>8.417</w:t>
            </w:r>
          </w:p>
        </w:tc>
        <w:tc>
          <w:tcPr>
            <w:tcW w:w="1820" w:type="dxa"/>
            <w:vAlign w:val="bottom"/>
            <w:tcBorders>
              <w:right w:val="single" w:sz="8" w:color="47829E"/>
            </w:tcBorders>
          </w:tcPr>
          <w:p>
            <w:pPr>
              <w:jc w:val="right"/>
              <w:ind w:right="33"/>
              <w:spacing w:after="0" w:line="148" w:lineRule="exact"/>
              <w:rPr>
                <w:sz w:val="20"/>
                <w:szCs w:val="20"/>
                <w:color w:val="auto"/>
              </w:rPr>
            </w:pPr>
            <w:r>
              <w:rPr>
                <w:rFonts w:ascii="Arial" w:cs="Arial" w:eastAsia="Arial" w:hAnsi="Arial"/>
                <w:sz w:val="14"/>
                <w:szCs w:val="14"/>
                <w:color w:val="auto"/>
              </w:rPr>
              <w:t>270,104</w:t>
            </w:r>
          </w:p>
        </w:tc>
        <w:tc>
          <w:tcPr>
            <w:tcW w:w="1600" w:type="dxa"/>
            <w:vAlign w:val="bottom"/>
            <w:tcBorders>
              <w:right w:val="single" w:sz="8" w:color="47829E"/>
            </w:tcBorders>
          </w:tcPr>
          <w:p>
            <w:pPr>
              <w:spacing w:after="0"/>
              <w:rPr>
                <w:sz w:val="12"/>
                <w:szCs w:val="12"/>
                <w:color w:val="auto"/>
              </w:rPr>
            </w:pPr>
          </w:p>
        </w:tc>
      </w:tr>
      <w:tr>
        <w:trPr>
          <w:trHeight w:val="162"/>
        </w:trPr>
        <w:tc>
          <w:tcPr>
            <w:tcW w:w="5320" w:type="dxa"/>
            <w:vAlign w:val="bottom"/>
            <w:tcBorders>
              <w:left w:val="single" w:sz="8" w:color="47829E"/>
              <w:right w:val="single" w:sz="8" w:color="47829E"/>
            </w:tcBorders>
          </w:tcPr>
          <w:p>
            <w:pPr>
              <w:spacing w:after="0"/>
              <w:rPr>
                <w:sz w:val="14"/>
                <w:szCs w:val="14"/>
                <w:color w:val="auto"/>
              </w:rPr>
            </w:pPr>
          </w:p>
        </w:tc>
        <w:tc>
          <w:tcPr>
            <w:tcW w:w="108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w w:val="94"/>
              </w:rPr>
              <w:t>SERP</w:t>
            </w:r>
          </w:p>
        </w:tc>
        <w:tc>
          <w:tcPr>
            <w:tcW w:w="162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8.417</w:t>
            </w:r>
          </w:p>
        </w:tc>
        <w:tc>
          <w:tcPr>
            <w:tcW w:w="1820" w:type="dxa"/>
            <w:vAlign w:val="bottom"/>
            <w:tcBorders>
              <w:right w:val="single" w:sz="8" w:color="47829E"/>
            </w:tcBorders>
          </w:tcPr>
          <w:p>
            <w:pPr>
              <w:jc w:val="right"/>
              <w:ind w:right="33"/>
              <w:spacing w:after="0"/>
              <w:rPr>
                <w:sz w:val="20"/>
                <w:szCs w:val="20"/>
                <w:color w:val="auto"/>
              </w:rPr>
            </w:pPr>
            <w:r>
              <w:rPr>
                <w:rFonts w:ascii="Arial" w:cs="Arial" w:eastAsia="Arial" w:hAnsi="Arial"/>
                <w:sz w:val="14"/>
                <w:szCs w:val="14"/>
                <w:color w:val="auto"/>
              </w:rPr>
              <w:t>1,710,739</w:t>
            </w:r>
          </w:p>
        </w:tc>
        <w:tc>
          <w:tcPr>
            <w:tcW w:w="1600" w:type="dxa"/>
            <w:vAlign w:val="bottom"/>
            <w:tcBorders>
              <w:right w:val="single" w:sz="8" w:color="47829E"/>
            </w:tcBorders>
          </w:tcPr>
          <w:p>
            <w:pPr>
              <w:spacing w:after="0"/>
              <w:rPr>
                <w:sz w:val="14"/>
                <w:szCs w:val="14"/>
                <w:color w:val="auto"/>
              </w:rPr>
            </w:pPr>
          </w:p>
        </w:tc>
      </w:tr>
      <w:tr>
        <w:trPr>
          <w:trHeight w:val="148"/>
        </w:trPr>
        <w:tc>
          <w:tcPr>
            <w:tcW w:w="5320" w:type="dxa"/>
            <w:vAlign w:val="bottom"/>
            <w:tcBorders>
              <w:left w:val="single" w:sz="8" w:color="47829E"/>
              <w:right w:val="single" w:sz="8" w:color="47829E"/>
            </w:tcBorders>
            <w:shd w:val="clear" w:color="auto" w:fill="E3ECF0"/>
          </w:tcPr>
          <w:p>
            <w:pPr>
              <w:ind w:left="120"/>
              <w:spacing w:after="0" w:line="148" w:lineRule="exact"/>
              <w:rPr>
                <w:sz w:val="20"/>
                <w:szCs w:val="20"/>
                <w:color w:val="auto"/>
              </w:rPr>
            </w:pPr>
            <w:r>
              <w:rPr>
                <w:rFonts w:ascii="Arial" w:cs="Arial" w:eastAsia="Arial" w:hAnsi="Arial"/>
                <w:sz w:val="14"/>
                <w:szCs w:val="14"/>
                <w:b w:val="1"/>
                <w:bCs w:val="1"/>
                <w:color w:val="auto"/>
              </w:rPr>
              <w:t>Anne H. Lloyd</w:t>
            </w:r>
          </w:p>
        </w:tc>
        <w:tc>
          <w:tcPr>
            <w:tcW w:w="1080" w:type="dxa"/>
            <w:vAlign w:val="bottom"/>
            <w:tcBorders>
              <w:right w:val="single" w:sz="8" w:color="47829E"/>
            </w:tcBorders>
            <w:shd w:val="clear" w:color="auto" w:fill="E3ECF0"/>
          </w:tcPr>
          <w:p>
            <w:pPr>
              <w:jc w:val="center"/>
              <w:spacing w:after="0" w:line="148" w:lineRule="exact"/>
              <w:rPr>
                <w:sz w:val="20"/>
                <w:szCs w:val="20"/>
                <w:color w:val="auto"/>
              </w:rPr>
            </w:pPr>
            <w:r>
              <w:rPr>
                <w:rFonts w:ascii="Arial" w:cs="Arial" w:eastAsia="Arial" w:hAnsi="Arial"/>
                <w:sz w:val="14"/>
                <w:szCs w:val="14"/>
                <w:color w:val="auto"/>
                <w:w w:val="96"/>
              </w:rPr>
              <w:t>Pension Plan</w:t>
            </w:r>
          </w:p>
        </w:tc>
        <w:tc>
          <w:tcPr>
            <w:tcW w:w="1620" w:type="dxa"/>
            <w:vAlign w:val="bottom"/>
            <w:tcBorders>
              <w:right w:val="single" w:sz="8" w:color="47829E"/>
            </w:tcBorders>
            <w:shd w:val="clear" w:color="auto" w:fill="E3ECF0"/>
          </w:tcPr>
          <w:p>
            <w:pPr>
              <w:jc w:val="right"/>
              <w:ind w:right="32"/>
              <w:spacing w:after="0" w:line="148" w:lineRule="exact"/>
              <w:rPr>
                <w:sz w:val="20"/>
                <w:szCs w:val="20"/>
                <w:color w:val="auto"/>
              </w:rPr>
            </w:pPr>
            <w:r>
              <w:rPr>
                <w:rFonts w:ascii="Arial" w:cs="Arial" w:eastAsia="Arial" w:hAnsi="Arial"/>
                <w:sz w:val="14"/>
                <w:szCs w:val="14"/>
                <w:color w:val="auto"/>
              </w:rPr>
              <w:t>16.583</w:t>
            </w:r>
          </w:p>
        </w:tc>
        <w:tc>
          <w:tcPr>
            <w:tcW w:w="1820" w:type="dxa"/>
            <w:vAlign w:val="bottom"/>
            <w:tcBorders>
              <w:right w:val="single" w:sz="8" w:color="47829E"/>
            </w:tcBorders>
            <w:shd w:val="clear" w:color="auto" w:fill="E3ECF0"/>
          </w:tcPr>
          <w:p>
            <w:pPr>
              <w:jc w:val="right"/>
              <w:ind w:right="33"/>
              <w:spacing w:after="0" w:line="148" w:lineRule="exact"/>
              <w:rPr>
                <w:sz w:val="20"/>
                <w:szCs w:val="20"/>
                <w:color w:val="auto"/>
              </w:rPr>
            </w:pPr>
            <w:r>
              <w:rPr>
                <w:rFonts w:ascii="Arial" w:cs="Arial" w:eastAsia="Arial" w:hAnsi="Arial"/>
                <w:sz w:val="14"/>
                <w:szCs w:val="14"/>
                <w:color w:val="auto"/>
              </w:rPr>
              <w:t>597,821</w:t>
            </w:r>
          </w:p>
        </w:tc>
        <w:tc>
          <w:tcPr>
            <w:tcW w:w="1600" w:type="dxa"/>
            <w:vAlign w:val="bottom"/>
            <w:tcBorders>
              <w:right w:val="single" w:sz="8" w:color="47829E"/>
            </w:tcBorders>
            <w:shd w:val="clear" w:color="auto" w:fill="E3ECF0"/>
          </w:tcPr>
          <w:p>
            <w:pPr>
              <w:spacing w:after="0"/>
              <w:rPr>
                <w:sz w:val="12"/>
                <w:szCs w:val="12"/>
                <w:color w:val="auto"/>
              </w:rPr>
            </w:pPr>
          </w:p>
        </w:tc>
      </w:tr>
      <w:tr>
        <w:trPr>
          <w:trHeight w:val="163"/>
        </w:trPr>
        <w:tc>
          <w:tcPr>
            <w:tcW w:w="5320" w:type="dxa"/>
            <w:vAlign w:val="bottom"/>
            <w:tcBorders>
              <w:left w:val="single" w:sz="8" w:color="47829E"/>
              <w:right w:val="single" w:sz="8" w:color="47829E"/>
            </w:tcBorders>
            <w:shd w:val="clear" w:color="auto" w:fill="E3ECF0"/>
          </w:tcPr>
          <w:p>
            <w:pPr>
              <w:spacing w:after="0"/>
              <w:rPr>
                <w:sz w:val="14"/>
                <w:szCs w:val="14"/>
                <w:color w:val="auto"/>
              </w:rPr>
            </w:pPr>
          </w:p>
        </w:tc>
        <w:tc>
          <w:tcPr>
            <w:tcW w:w="1080" w:type="dxa"/>
            <w:vAlign w:val="bottom"/>
            <w:tcBorders>
              <w:right w:val="single" w:sz="8" w:color="47829E"/>
            </w:tcBorders>
            <w:shd w:val="clear" w:color="auto" w:fill="E3ECF0"/>
          </w:tcPr>
          <w:p>
            <w:pPr>
              <w:jc w:val="center"/>
              <w:spacing w:after="0"/>
              <w:rPr>
                <w:sz w:val="20"/>
                <w:szCs w:val="20"/>
                <w:color w:val="auto"/>
              </w:rPr>
            </w:pPr>
            <w:r>
              <w:rPr>
                <w:rFonts w:ascii="Arial" w:cs="Arial" w:eastAsia="Arial" w:hAnsi="Arial"/>
                <w:sz w:val="14"/>
                <w:szCs w:val="14"/>
                <w:color w:val="auto"/>
                <w:w w:val="94"/>
              </w:rPr>
              <w:t>SERP</w:t>
            </w:r>
          </w:p>
        </w:tc>
        <w:tc>
          <w:tcPr>
            <w:tcW w:w="1620" w:type="dxa"/>
            <w:vAlign w:val="bottom"/>
            <w:tcBorders>
              <w:right w:val="single" w:sz="8" w:color="47829E"/>
            </w:tcBorders>
            <w:shd w:val="clear" w:color="auto" w:fill="E3ECF0"/>
          </w:tcPr>
          <w:p>
            <w:pPr>
              <w:jc w:val="right"/>
              <w:ind w:right="32"/>
              <w:spacing w:after="0"/>
              <w:rPr>
                <w:sz w:val="20"/>
                <w:szCs w:val="20"/>
                <w:color w:val="auto"/>
              </w:rPr>
            </w:pPr>
            <w:r>
              <w:rPr>
                <w:rFonts w:ascii="Arial" w:cs="Arial" w:eastAsia="Arial" w:hAnsi="Arial"/>
                <w:sz w:val="14"/>
                <w:szCs w:val="14"/>
                <w:color w:val="auto"/>
              </w:rPr>
              <w:t>16.583</w:t>
            </w:r>
          </w:p>
        </w:tc>
        <w:tc>
          <w:tcPr>
            <w:tcW w:w="1820" w:type="dxa"/>
            <w:vAlign w:val="bottom"/>
            <w:tcBorders>
              <w:right w:val="single" w:sz="8" w:color="47829E"/>
            </w:tcBorders>
            <w:shd w:val="clear" w:color="auto" w:fill="E3ECF0"/>
          </w:tcPr>
          <w:p>
            <w:pPr>
              <w:jc w:val="right"/>
              <w:ind w:right="33"/>
              <w:spacing w:after="0"/>
              <w:rPr>
                <w:sz w:val="20"/>
                <w:szCs w:val="20"/>
                <w:color w:val="auto"/>
              </w:rPr>
            </w:pPr>
            <w:r>
              <w:rPr>
                <w:rFonts w:ascii="Arial" w:cs="Arial" w:eastAsia="Arial" w:hAnsi="Arial"/>
                <w:sz w:val="14"/>
                <w:szCs w:val="14"/>
                <w:color w:val="auto"/>
              </w:rPr>
              <w:t>1,533,112</w:t>
            </w:r>
          </w:p>
        </w:tc>
        <w:tc>
          <w:tcPr>
            <w:tcW w:w="1600" w:type="dxa"/>
            <w:vAlign w:val="bottom"/>
            <w:tcBorders>
              <w:right w:val="single" w:sz="8" w:color="47829E"/>
            </w:tcBorders>
            <w:shd w:val="clear" w:color="auto" w:fill="E3ECF0"/>
          </w:tcPr>
          <w:p>
            <w:pPr>
              <w:spacing w:after="0"/>
              <w:rPr>
                <w:sz w:val="14"/>
                <w:szCs w:val="14"/>
                <w:color w:val="auto"/>
              </w:rPr>
            </w:pPr>
          </w:p>
        </w:tc>
      </w:tr>
      <w:tr>
        <w:trPr>
          <w:trHeight w:val="148"/>
        </w:trPr>
        <w:tc>
          <w:tcPr>
            <w:tcW w:w="5320" w:type="dxa"/>
            <w:vAlign w:val="bottom"/>
            <w:tcBorders>
              <w:left w:val="single" w:sz="8" w:color="47829E"/>
              <w:right w:val="single" w:sz="8" w:color="47829E"/>
            </w:tcBorders>
          </w:tcPr>
          <w:p>
            <w:pPr>
              <w:ind w:left="120"/>
              <w:spacing w:after="0" w:line="148" w:lineRule="exact"/>
              <w:rPr>
                <w:sz w:val="20"/>
                <w:szCs w:val="20"/>
                <w:color w:val="auto"/>
              </w:rPr>
            </w:pPr>
            <w:r>
              <w:rPr>
                <w:rFonts w:ascii="Arial" w:cs="Arial" w:eastAsia="Arial" w:hAnsi="Arial"/>
                <w:sz w:val="14"/>
                <w:szCs w:val="14"/>
                <w:b w:val="1"/>
                <w:bCs w:val="1"/>
                <w:color w:val="auto"/>
              </w:rPr>
              <w:t>Roselyn R. Bar</w:t>
            </w:r>
          </w:p>
        </w:tc>
        <w:tc>
          <w:tcPr>
            <w:tcW w:w="1080" w:type="dxa"/>
            <w:vAlign w:val="bottom"/>
            <w:tcBorders>
              <w:right w:val="single" w:sz="8" w:color="47829E"/>
            </w:tcBorders>
          </w:tcPr>
          <w:p>
            <w:pPr>
              <w:jc w:val="center"/>
              <w:spacing w:after="0" w:line="148" w:lineRule="exact"/>
              <w:rPr>
                <w:sz w:val="20"/>
                <w:szCs w:val="20"/>
                <w:color w:val="auto"/>
              </w:rPr>
            </w:pPr>
            <w:r>
              <w:rPr>
                <w:rFonts w:ascii="Arial" w:cs="Arial" w:eastAsia="Arial" w:hAnsi="Arial"/>
                <w:sz w:val="14"/>
                <w:szCs w:val="14"/>
                <w:color w:val="auto"/>
                <w:w w:val="96"/>
              </w:rPr>
              <w:t>Pension Plan</w:t>
            </w:r>
          </w:p>
        </w:tc>
        <w:tc>
          <w:tcPr>
            <w:tcW w:w="1620" w:type="dxa"/>
            <w:vAlign w:val="bottom"/>
            <w:tcBorders>
              <w:right w:val="single" w:sz="8" w:color="47829E"/>
            </w:tcBorders>
          </w:tcPr>
          <w:p>
            <w:pPr>
              <w:jc w:val="right"/>
              <w:ind w:right="32"/>
              <w:spacing w:after="0" w:line="148" w:lineRule="exact"/>
              <w:rPr>
                <w:sz w:val="20"/>
                <w:szCs w:val="20"/>
                <w:color w:val="auto"/>
              </w:rPr>
            </w:pPr>
            <w:r>
              <w:rPr>
                <w:rFonts w:ascii="Arial" w:cs="Arial" w:eastAsia="Arial" w:hAnsi="Arial"/>
                <w:sz w:val="14"/>
                <w:szCs w:val="14"/>
                <w:color w:val="auto"/>
              </w:rPr>
              <w:t>20.500</w:t>
            </w:r>
          </w:p>
        </w:tc>
        <w:tc>
          <w:tcPr>
            <w:tcW w:w="1820" w:type="dxa"/>
            <w:vAlign w:val="bottom"/>
            <w:tcBorders>
              <w:right w:val="single" w:sz="8" w:color="47829E"/>
            </w:tcBorders>
          </w:tcPr>
          <w:p>
            <w:pPr>
              <w:jc w:val="right"/>
              <w:ind w:right="33"/>
              <w:spacing w:after="0" w:line="148" w:lineRule="exact"/>
              <w:rPr>
                <w:sz w:val="20"/>
                <w:szCs w:val="20"/>
                <w:color w:val="auto"/>
              </w:rPr>
            </w:pPr>
            <w:r>
              <w:rPr>
                <w:rFonts w:ascii="Arial" w:cs="Arial" w:eastAsia="Arial" w:hAnsi="Arial"/>
                <w:sz w:val="14"/>
                <w:szCs w:val="14"/>
                <w:color w:val="auto"/>
              </w:rPr>
              <w:t>845,088</w:t>
            </w:r>
          </w:p>
        </w:tc>
        <w:tc>
          <w:tcPr>
            <w:tcW w:w="1600" w:type="dxa"/>
            <w:vAlign w:val="bottom"/>
            <w:tcBorders>
              <w:right w:val="single" w:sz="8" w:color="47829E"/>
            </w:tcBorders>
          </w:tcPr>
          <w:p>
            <w:pPr>
              <w:spacing w:after="0"/>
              <w:rPr>
                <w:sz w:val="12"/>
                <w:szCs w:val="12"/>
                <w:color w:val="auto"/>
              </w:rPr>
            </w:pPr>
          </w:p>
        </w:tc>
      </w:tr>
      <w:tr>
        <w:trPr>
          <w:trHeight w:val="162"/>
        </w:trPr>
        <w:tc>
          <w:tcPr>
            <w:tcW w:w="5320" w:type="dxa"/>
            <w:vAlign w:val="bottom"/>
            <w:tcBorders>
              <w:left w:val="single" w:sz="8" w:color="47829E"/>
              <w:right w:val="single" w:sz="8" w:color="47829E"/>
            </w:tcBorders>
          </w:tcPr>
          <w:p>
            <w:pPr>
              <w:spacing w:after="0"/>
              <w:rPr>
                <w:sz w:val="14"/>
                <w:szCs w:val="14"/>
                <w:color w:val="auto"/>
              </w:rPr>
            </w:pPr>
          </w:p>
        </w:tc>
        <w:tc>
          <w:tcPr>
            <w:tcW w:w="108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w w:val="94"/>
              </w:rPr>
              <w:t>SERP</w:t>
            </w:r>
          </w:p>
        </w:tc>
        <w:tc>
          <w:tcPr>
            <w:tcW w:w="1620" w:type="dxa"/>
            <w:vAlign w:val="bottom"/>
            <w:tcBorders>
              <w:right w:val="single" w:sz="8" w:color="47829E"/>
            </w:tcBorders>
          </w:tcPr>
          <w:p>
            <w:pPr>
              <w:jc w:val="right"/>
              <w:ind w:right="32"/>
              <w:spacing w:after="0"/>
              <w:rPr>
                <w:sz w:val="20"/>
                <w:szCs w:val="20"/>
                <w:color w:val="auto"/>
              </w:rPr>
            </w:pPr>
            <w:r>
              <w:rPr>
                <w:rFonts w:ascii="Arial" w:cs="Arial" w:eastAsia="Arial" w:hAnsi="Arial"/>
                <w:sz w:val="14"/>
                <w:szCs w:val="14"/>
                <w:color w:val="auto"/>
              </w:rPr>
              <w:t>20.500</w:t>
            </w:r>
          </w:p>
        </w:tc>
        <w:tc>
          <w:tcPr>
            <w:tcW w:w="1820" w:type="dxa"/>
            <w:vAlign w:val="bottom"/>
            <w:tcBorders>
              <w:right w:val="single" w:sz="8" w:color="47829E"/>
            </w:tcBorders>
          </w:tcPr>
          <w:p>
            <w:pPr>
              <w:jc w:val="right"/>
              <w:ind w:right="33"/>
              <w:spacing w:after="0"/>
              <w:rPr>
                <w:sz w:val="20"/>
                <w:szCs w:val="20"/>
                <w:color w:val="auto"/>
              </w:rPr>
            </w:pPr>
            <w:r>
              <w:rPr>
                <w:rFonts w:ascii="Arial" w:cs="Arial" w:eastAsia="Arial" w:hAnsi="Arial"/>
                <w:sz w:val="14"/>
                <w:szCs w:val="14"/>
                <w:color w:val="auto"/>
              </w:rPr>
              <w:t>1,479,241</w:t>
            </w:r>
          </w:p>
        </w:tc>
        <w:tc>
          <w:tcPr>
            <w:tcW w:w="1600" w:type="dxa"/>
            <w:vAlign w:val="bottom"/>
            <w:tcBorders>
              <w:right w:val="single" w:sz="8" w:color="47829E"/>
            </w:tcBorders>
          </w:tcPr>
          <w:p>
            <w:pPr>
              <w:spacing w:after="0"/>
              <w:rPr>
                <w:sz w:val="14"/>
                <w:szCs w:val="14"/>
                <w:color w:val="auto"/>
              </w:rPr>
            </w:pPr>
          </w:p>
        </w:tc>
      </w:tr>
      <w:tr>
        <w:trPr>
          <w:trHeight w:val="148"/>
        </w:trPr>
        <w:tc>
          <w:tcPr>
            <w:tcW w:w="5320" w:type="dxa"/>
            <w:vAlign w:val="bottom"/>
            <w:tcBorders>
              <w:left w:val="single" w:sz="8" w:color="47829E"/>
              <w:right w:val="single" w:sz="8" w:color="47829E"/>
            </w:tcBorders>
            <w:shd w:val="clear" w:color="auto" w:fill="E3ECF0"/>
          </w:tcPr>
          <w:p>
            <w:pPr>
              <w:ind w:left="120"/>
              <w:spacing w:after="0" w:line="148" w:lineRule="exact"/>
              <w:rPr>
                <w:sz w:val="20"/>
                <w:szCs w:val="20"/>
                <w:color w:val="auto"/>
              </w:rPr>
            </w:pPr>
            <w:r>
              <w:rPr>
                <w:rFonts w:ascii="Arial" w:cs="Arial" w:eastAsia="Arial" w:hAnsi="Arial"/>
                <w:sz w:val="14"/>
                <w:szCs w:val="14"/>
                <w:b w:val="1"/>
                <w:bCs w:val="1"/>
                <w:color w:val="auto"/>
              </w:rPr>
              <w:t>Donald A. McCunniff</w:t>
            </w:r>
          </w:p>
        </w:tc>
        <w:tc>
          <w:tcPr>
            <w:tcW w:w="1080" w:type="dxa"/>
            <w:vAlign w:val="bottom"/>
            <w:tcBorders>
              <w:right w:val="single" w:sz="8" w:color="47829E"/>
            </w:tcBorders>
            <w:shd w:val="clear" w:color="auto" w:fill="E3ECF0"/>
          </w:tcPr>
          <w:p>
            <w:pPr>
              <w:jc w:val="center"/>
              <w:spacing w:after="0" w:line="148" w:lineRule="exact"/>
              <w:rPr>
                <w:sz w:val="20"/>
                <w:szCs w:val="20"/>
                <w:color w:val="auto"/>
              </w:rPr>
            </w:pPr>
            <w:r>
              <w:rPr>
                <w:rFonts w:ascii="Arial" w:cs="Arial" w:eastAsia="Arial" w:hAnsi="Arial"/>
                <w:sz w:val="14"/>
                <w:szCs w:val="14"/>
                <w:color w:val="auto"/>
                <w:w w:val="96"/>
              </w:rPr>
              <w:t>Pension Plan</w:t>
            </w:r>
          </w:p>
        </w:tc>
        <w:tc>
          <w:tcPr>
            <w:tcW w:w="1620" w:type="dxa"/>
            <w:vAlign w:val="bottom"/>
            <w:tcBorders>
              <w:right w:val="single" w:sz="8" w:color="47829E"/>
            </w:tcBorders>
            <w:shd w:val="clear" w:color="auto" w:fill="E3ECF0"/>
          </w:tcPr>
          <w:p>
            <w:pPr>
              <w:jc w:val="right"/>
              <w:ind w:right="32"/>
              <w:spacing w:after="0" w:line="148" w:lineRule="exact"/>
              <w:rPr>
                <w:sz w:val="20"/>
                <w:szCs w:val="20"/>
                <w:color w:val="auto"/>
              </w:rPr>
            </w:pPr>
            <w:r>
              <w:rPr>
                <w:rFonts w:ascii="Arial" w:cs="Arial" w:eastAsia="Arial" w:hAnsi="Arial"/>
                <w:sz w:val="14"/>
                <w:szCs w:val="14"/>
                <w:color w:val="auto"/>
              </w:rPr>
              <w:t>3.417</w:t>
            </w:r>
          </w:p>
        </w:tc>
        <w:tc>
          <w:tcPr>
            <w:tcW w:w="1820" w:type="dxa"/>
            <w:vAlign w:val="bottom"/>
            <w:tcBorders>
              <w:right w:val="single" w:sz="8" w:color="47829E"/>
            </w:tcBorders>
            <w:shd w:val="clear" w:color="auto" w:fill="E3ECF0"/>
          </w:tcPr>
          <w:p>
            <w:pPr>
              <w:jc w:val="right"/>
              <w:ind w:right="33"/>
              <w:spacing w:after="0" w:line="148" w:lineRule="exact"/>
              <w:rPr>
                <w:sz w:val="20"/>
                <w:szCs w:val="20"/>
                <w:color w:val="auto"/>
              </w:rPr>
            </w:pPr>
            <w:r>
              <w:rPr>
                <w:rFonts w:ascii="Arial" w:cs="Arial" w:eastAsia="Arial" w:hAnsi="Arial"/>
                <w:sz w:val="14"/>
                <w:szCs w:val="14"/>
                <w:color w:val="auto"/>
              </w:rPr>
              <w:t>142,091</w:t>
            </w:r>
          </w:p>
        </w:tc>
        <w:tc>
          <w:tcPr>
            <w:tcW w:w="1600" w:type="dxa"/>
            <w:vAlign w:val="bottom"/>
            <w:tcBorders>
              <w:right w:val="single" w:sz="8" w:color="47829E"/>
            </w:tcBorders>
            <w:shd w:val="clear" w:color="auto" w:fill="E3ECF0"/>
          </w:tcPr>
          <w:p>
            <w:pPr>
              <w:spacing w:after="0"/>
              <w:rPr>
                <w:sz w:val="12"/>
                <w:szCs w:val="12"/>
                <w:color w:val="auto"/>
              </w:rPr>
            </w:pPr>
          </w:p>
        </w:tc>
      </w:tr>
      <w:tr>
        <w:trPr>
          <w:trHeight w:val="163"/>
        </w:trPr>
        <w:tc>
          <w:tcPr>
            <w:tcW w:w="5320" w:type="dxa"/>
            <w:vAlign w:val="bottom"/>
            <w:tcBorders>
              <w:left w:val="single" w:sz="8" w:color="47829E"/>
              <w:right w:val="single" w:sz="8" w:color="47829E"/>
            </w:tcBorders>
            <w:shd w:val="clear" w:color="auto" w:fill="E3ECF0"/>
          </w:tcPr>
          <w:p>
            <w:pPr>
              <w:spacing w:after="0"/>
              <w:rPr>
                <w:sz w:val="14"/>
                <w:szCs w:val="14"/>
                <w:color w:val="auto"/>
              </w:rPr>
            </w:pPr>
          </w:p>
        </w:tc>
        <w:tc>
          <w:tcPr>
            <w:tcW w:w="1080" w:type="dxa"/>
            <w:vAlign w:val="bottom"/>
            <w:tcBorders>
              <w:right w:val="single" w:sz="8" w:color="47829E"/>
            </w:tcBorders>
            <w:shd w:val="clear" w:color="auto" w:fill="E3ECF0"/>
          </w:tcPr>
          <w:p>
            <w:pPr>
              <w:jc w:val="center"/>
              <w:spacing w:after="0"/>
              <w:rPr>
                <w:sz w:val="20"/>
                <w:szCs w:val="20"/>
                <w:color w:val="auto"/>
              </w:rPr>
            </w:pPr>
            <w:r>
              <w:rPr>
                <w:rFonts w:ascii="Arial" w:cs="Arial" w:eastAsia="Arial" w:hAnsi="Arial"/>
                <w:sz w:val="14"/>
                <w:szCs w:val="14"/>
                <w:color w:val="auto"/>
                <w:w w:val="94"/>
              </w:rPr>
              <w:t>SERP</w:t>
            </w:r>
          </w:p>
        </w:tc>
        <w:tc>
          <w:tcPr>
            <w:tcW w:w="1620" w:type="dxa"/>
            <w:vAlign w:val="bottom"/>
            <w:tcBorders>
              <w:right w:val="single" w:sz="8" w:color="47829E"/>
            </w:tcBorders>
            <w:shd w:val="clear" w:color="auto" w:fill="E3ECF0"/>
          </w:tcPr>
          <w:p>
            <w:pPr>
              <w:jc w:val="right"/>
              <w:ind w:right="32"/>
              <w:spacing w:after="0"/>
              <w:rPr>
                <w:sz w:val="20"/>
                <w:szCs w:val="20"/>
                <w:color w:val="auto"/>
              </w:rPr>
            </w:pPr>
            <w:r>
              <w:rPr>
                <w:rFonts w:ascii="Arial" w:cs="Arial" w:eastAsia="Arial" w:hAnsi="Arial"/>
                <w:sz w:val="14"/>
                <w:szCs w:val="14"/>
                <w:color w:val="auto"/>
              </w:rPr>
              <w:t>3.417</w:t>
            </w:r>
          </w:p>
        </w:tc>
        <w:tc>
          <w:tcPr>
            <w:tcW w:w="1820" w:type="dxa"/>
            <w:vAlign w:val="bottom"/>
            <w:tcBorders>
              <w:right w:val="single" w:sz="8" w:color="47829E"/>
            </w:tcBorders>
            <w:shd w:val="clear" w:color="auto" w:fill="E3ECF0"/>
          </w:tcPr>
          <w:p>
            <w:pPr>
              <w:jc w:val="right"/>
              <w:ind w:right="33"/>
              <w:spacing w:after="0"/>
              <w:rPr>
                <w:sz w:val="20"/>
                <w:szCs w:val="20"/>
                <w:color w:val="auto"/>
              </w:rPr>
            </w:pPr>
            <w:r>
              <w:rPr>
                <w:rFonts w:ascii="Arial" w:cs="Arial" w:eastAsia="Arial" w:hAnsi="Arial"/>
                <w:sz w:val="14"/>
                <w:szCs w:val="14"/>
                <w:color w:val="auto"/>
              </w:rPr>
              <w:t>168,536</w:t>
            </w:r>
          </w:p>
        </w:tc>
        <w:tc>
          <w:tcPr>
            <w:tcW w:w="1600" w:type="dxa"/>
            <w:vAlign w:val="bottom"/>
            <w:tcBorders>
              <w:right w:val="single" w:sz="8" w:color="47829E"/>
            </w:tcBorders>
            <w:shd w:val="clear" w:color="auto" w:fill="E3ECF0"/>
          </w:tcPr>
          <w:p>
            <w:pPr>
              <w:spacing w:after="0"/>
              <w:rPr>
                <w:sz w:val="14"/>
                <w:szCs w:val="14"/>
                <w:color w:val="auto"/>
              </w:rPr>
            </w:pPr>
          </w:p>
        </w:tc>
      </w:tr>
      <w:tr>
        <w:trPr>
          <w:trHeight w:val="148"/>
        </w:trPr>
        <w:tc>
          <w:tcPr>
            <w:tcW w:w="5320" w:type="dxa"/>
            <w:vAlign w:val="bottom"/>
            <w:tcBorders>
              <w:left w:val="single" w:sz="8" w:color="47829E"/>
              <w:right w:val="single" w:sz="8" w:color="47829E"/>
            </w:tcBorders>
          </w:tcPr>
          <w:p>
            <w:pPr>
              <w:ind w:left="120"/>
              <w:spacing w:after="0" w:line="148" w:lineRule="exact"/>
              <w:rPr>
                <w:sz w:val="20"/>
                <w:szCs w:val="20"/>
                <w:color w:val="auto"/>
              </w:rPr>
            </w:pPr>
            <w:r>
              <w:rPr>
                <w:rFonts w:ascii="Arial" w:cs="Arial" w:eastAsia="Arial" w:hAnsi="Arial"/>
                <w:sz w:val="14"/>
                <w:szCs w:val="14"/>
                <w:b w:val="1"/>
                <w:bCs w:val="1"/>
                <w:color w:val="auto"/>
              </w:rPr>
              <w:t>Daniel L. Grant</w:t>
            </w:r>
          </w:p>
        </w:tc>
        <w:tc>
          <w:tcPr>
            <w:tcW w:w="1080" w:type="dxa"/>
            <w:vAlign w:val="bottom"/>
            <w:tcBorders>
              <w:right w:val="single" w:sz="8" w:color="47829E"/>
            </w:tcBorders>
          </w:tcPr>
          <w:p>
            <w:pPr>
              <w:jc w:val="center"/>
              <w:spacing w:after="0" w:line="148" w:lineRule="exact"/>
              <w:rPr>
                <w:sz w:val="20"/>
                <w:szCs w:val="20"/>
                <w:color w:val="auto"/>
              </w:rPr>
            </w:pPr>
            <w:r>
              <w:rPr>
                <w:rFonts w:ascii="Arial" w:cs="Arial" w:eastAsia="Arial" w:hAnsi="Arial"/>
                <w:sz w:val="14"/>
                <w:szCs w:val="14"/>
                <w:color w:val="auto"/>
                <w:w w:val="96"/>
              </w:rPr>
              <w:t>Pension Plan</w:t>
            </w:r>
          </w:p>
        </w:tc>
        <w:tc>
          <w:tcPr>
            <w:tcW w:w="1620" w:type="dxa"/>
            <w:vAlign w:val="bottom"/>
            <w:tcBorders>
              <w:right w:val="single" w:sz="8" w:color="47829E"/>
            </w:tcBorders>
          </w:tcPr>
          <w:p>
            <w:pPr>
              <w:jc w:val="right"/>
              <w:ind w:right="32"/>
              <w:spacing w:after="0" w:line="148" w:lineRule="exact"/>
              <w:rPr>
                <w:sz w:val="20"/>
                <w:szCs w:val="20"/>
                <w:color w:val="auto"/>
              </w:rPr>
            </w:pPr>
            <w:r>
              <w:rPr>
                <w:rFonts w:ascii="Arial" w:cs="Arial" w:eastAsia="Arial" w:hAnsi="Arial"/>
                <w:sz w:val="14"/>
                <w:szCs w:val="14"/>
                <w:color w:val="auto"/>
              </w:rPr>
              <w:t>1.333</w:t>
            </w:r>
          </w:p>
        </w:tc>
        <w:tc>
          <w:tcPr>
            <w:tcW w:w="1820" w:type="dxa"/>
            <w:vAlign w:val="bottom"/>
            <w:tcBorders>
              <w:right w:val="single" w:sz="8" w:color="47829E"/>
            </w:tcBorders>
          </w:tcPr>
          <w:p>
            <w:pPr>
              <w:jc w:val="right"/>
              <w:ind w:right="33"/>
              <w:spacing w:after="0" w:line="148" w:lineRule="exact"/>
              <w:rPr>
                <w:sz w:val="20"/>
                <w:szCs w:val="20"/>
                <w:color w:val="auto"/>
              </w:rPr>
            </w:pPr>
            <w:r>
              <w:rPr>
                <w:rFonts w:ascii="Arial" w:cs="Arial" w:eastAsia="Arial" w:hAnsi="Arial"/>
                <w:sz w:val="14"/>
                <w:szCs w:val="14"/>
                <w:color w:val="auto"/>
              </w:rPr>
              <w:t>64,674</w:t>
            </w:r>
          </w:p>
        </w:tc>
        <w:tc>
          <w:tcPr>
            <w:tcW w:w="1600" w:type="dxa"/>
            <w:vAlign w:val="bottom"/>
            <w:tcBorders>
              <w:right w:val="single" w:sz="8" w:color="47829E"/>
            </w:tcBorders>
          </w:tcPr>
          <w:p>
            <w:pPr>
              <w:spacing w:after="0"/>
              <w:rPr>
                <w:sz w:val="12"/>
                <w:szCs w:val="12"/>
                <w:color w:val="auto"/>
              </w:rPr>
            </w:pPr>
          </w:p>
        </w:tc>
      </w:tr>
      <w:tr>
        <w:trPr>
          <w:trHeight w:val="162"/>
        </w:trPr>
        <w:tc>
          <w:tcPr>
            <w:tcW w:w="5320" w:type="dxa"/>
            <w:vAlign w:val="bottom"/>
            <w:tcBorders>
              <w:left w:val="single" w:sz="8" w:color="47829E"/>
              <w:bottom w:val="single" w:sz="8" w:color="47829E"/>
              <w:right w:val="single" w:sz="8" w:color="47829E"/>
            </w:tcBorders>
          </w:tcPr>
          <w:p>
            <w:pPr>
              <w:spacing w:after="0"/>
              <w:rPr>
                <w:sz w:val="14"/>
                <w:szCs w:val="14"/>
                <w:color w:val="auto"/>
              </w:rPr>
            </w:pPr>
          </w:p>
        </w:tc>
        <w:tc>
          <w:tcPr>
            <w:tcW w:w="1080" w:type="dxa"/>
            <w:vAlign w:val="bottom"/>
            <w:tcBorders>
              <w:bottom w:val="single" w:sz="8" w:color="47829E"/>
              <w:right w:val="single" w:sz="8" w:color="47829E"/>
            </w:tcBorders>
          </w:tcPr>
          <w:p>
            <w:pPr>
              <w:jc w:val="center"/>
              <w:spacing w:after="0"/>
              <w:rPr>
                <w:sz w:val="20"/>
                <w:szCs w:val="20"/>
                <w:color w:val="auto"/>
              </w:rPr>
            </w:pPr>
            <w:r>
              <w:rPr>
                <w:rFonts w:ascii="Arial" w:cs="Arial" w:eastAsia="Arial" w:hAnsi="Arial"/>
                <w:sz w:val="14"/>
                <w:szCs w:val="14"/>
                <w:color w:val="auto"/>
                <w:w w:val="94"/>
              </w:rPr>
              <w:t>SERP</w:t>
            </w:r>
          </w:p>
        </w:tc>
        <w:tc>
          <w:tcPr>
            <w:tcW w:w="1620" w:type="dxa"/>
            <w:vAlign w:val="bottom"/>
            <w:tcBorders>
              <w:bottom w:val="single" w:sz="8" w:color="47829E"/>
              <w:right w:val="single" w:sz="8" w:color="47829E"/>
            </w:tcBorders>
          </w:tcPr>
          <w:p>
            <w:pPr>
              <w:jc w:val="right"/>
              <w:ind w:right="32"/>
              <w:spacing w:after="0"/>
              <w:rPr>
                <w:sz w:val="20"/>
                <w:szCs w:val="20"/>
                <w:color w:val="auto"/>
              </w:rPr>
            </w:pPr>
            <w:r>
              <w:rPr>
                <w:rFonts w:ascii="Arial" w:cs="Arial" w:eastAsia="Arial" w:hAnsi="Arial"/>
                <w:sz w:val="14"/>
                <w:szCs w:val="14"/>
                <w:color w:val="auto"/>
              </w:rPr>
              <w:t>1.333</w:t>
            </w:r>
          </w:p>
        </w:tc>
        <w:tc>
          <w:tcPr>
            <w:tcW w:w="1820" w:type="dxa"/>
            <w:vAlign w:val="bottom"/>
            <w:tcBorders>
              <w:bottom w:val="single" w:sz="8" w:color="47829E"/>
              <w:right w:val="single" w:sz="8" w:color="47829E"/>
            </w:tcBorders>
          </w:tcPr>
          <w:p>
            <w:pPr>
              <w:jc w:val="right"/>
              <w:ind w:right="33"/>
              <w:spacing w:after="0"/>
              <w:rPr>
                <w:sz w:val="20"/>
                <w:szCs w:val="20"/>
                <w:color w:val="auto"/>
              </w:rPr>
            </w:pPr>
            <w:r>
              <w:rPr>
                <w:rFonts w:ascii="Arial" w:cs="Arial" w:eastAsia="Arial" w:hAnsi="Arial"/>
                <w:sz w:val="14"/>
                <w:szCs w:val="14"/>
                <w:color w:val="auto"/>
              </w:rPr>
              <w:t>43,263</w:t>
            </w:r>
          </w:p>
        </w:tc>
        <w:tc>
          <w:tcPr>
            <w:tcW w:w="1600" w:type="dxa"/>
            <w:vAlign w:val="bottom"/>
            <w:tcBorders>
              <w:bottom w:val="single" w:sz="8" w:color="47829E"/>
              <w:right w:val="single" w:sz="8" w:color="47829E"/>
            </w:tcBorders>
          </w:tcPr>
          <w:p>
            <w:pPr>
              <w:spacing w:after="0"/>
              <w:rPr>
                <w:sz w:val="14"/>
                <w:szCs w:val="14"/>
                <w:color w:val="auto"/>
              </w:rPr>
            </w:pPr>
          </w:p>
        </w:tc>
      </w:tr>
    </w:tbl>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40"/>
          </w:cols>
          <w:pgMar w:left="240" w:top="291" w:right="219" w:bottom="1440" w:gutter="0" w:footer="0" w:header="0"/>
        </w:sectPr>
      </w:pPr>
    </w:p>
    <w:bookmarkStart w:id="55" w:name="page56"/>
    <w:bookmarkEnd w:id="55"/>
    <w:p>
      <w:pPr>
        <w:ind w:left="120" w:right="280" w:hanging="112"/>
        <w:spacing w:after="0" w:line="180" w:lineRule="auto"/>
        <w:tabs>
          <w:tab w:leader="none" w:pos="120"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Amounts in column (d) reflect the valuation method and use the assumptions that are included in Notes A and J to Martin Marietta’s audited financial statements for the fiscal year ended December 31, 2014, included in Martin Marietta’s Annual Report on Form 10-K filed with the Securities and Exchange Commission on February 24, 2015.</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Pension Plan is a defined benefit plan sponsored by Martin Marietta and covers all of Martin Marietta’s executive officers, including the named executive officers, and substantially all of the salaried employees of Martin Marietta on a non-contributing basis. 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(1.165% of average compensation up to social security covered compensation for service up to 35 years and 1.50% of average compensation over social security covered compensation for service up to 35 years and 1.50% of average compensation for service over 35 years.) Benefits payable under the Pension Plan are subject to current Internal Revenue Code limitation, including a limitation on the amount of annual compensation for purposes of calculating eligible remuneration for a participant under a qualified retirement plan ($260,000 in 2014). Martin Marietta’s Supplemental Excess Retirement Plan (“SERP”) is a restoration plan that generally provides for the payment of benefits in excess of the Internal Revenue Code limits, which benefits vest in the same manner that benefits vest under the Pension Plan. The SERP provides for a lump sum payment of the vested benefits provided by the SERP subject to the provisions of Section 409A of the Internal Revenue Code of 1986. Of the named executive officers, only Ms. Bar is eligible for early retirement, which allows for payment to employees who are age 55 with at least five years of service at a reduced benefit based on the number of years of service and the number of years prior to age 62 at which the benefits began. Mr. Nye, Ms. Lloyd, Mr. McCunniff, and Mr. Grant are not yet eligible for early retirement, but would still be eligible for payments at age 55 (age 59.417 for Mr. McCunniff and age 64.417 for Mr. Grant) at a reduced benefit based on the number of years of service and the number of years prior to age 65 at which the benefits began. The present value of the Pension Plan and SERP benefit, respectively, for Mr. Nye, Ms. Lloyd, Ms. Bar, Mr. McCunniff, and Mr. Grant, if they had terminated on December 31, 2014 and began collecting benefits at age 55 (age 59.417 for Mr. McCunniff and age 64.417 for Mr. Grant) would be as follows: Mr. Nye, $219,707 and $1,474,574, respectively; Ms. Lloyd, $554,685 and $1,520,925, respectively; Ms. Bar, $826,050 and $1,522,938, respectively; Mr. McCunniff, $0 and $0, respectively, since he is not vested in the plan; and Mr. Grant, $0 and $0, respectively, since he is not vested in the plan. The amounts listed in the foregoing table are not subject to any deduction for Social Security benefits or other offset amounts.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discussion and tables below reflect the amount of potential payments and benefits to each of the named executive officers at, following, or in connection with any termination of such executive’s employment, including voluntary termination, involuntary not-for-cause termination, for-cause termination, normal retirement, early retirement, in the event of disability or death of the executive, and termination following a change of control. The amounts assume that such termination was effective as of December 31, 2014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Martin Marietta.</w:t>
      </w:r>
    </w:p>
    <w:p>
      <w:pPr>
        <w:spacing w:after="0" w:line="1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u w:val="single" w:color="auto"/>
          <w:color w:val="auto"/>
        </w:rPr>
        <w:t>Payments Upon Any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Regardless of the manner in which the employment of a named executive officer terminates, he or she is</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receive the amounts earned during the term of employment, including cash compensation earned during the fiscal year, amounts contributed by the employee and Martin Marietta’s matching contributions to the Savings and Investment Plan, unused earned vacation pay and amounts accrued and vested through Martin Marietta’s Pension Plan and SERP.</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u w:val="single" w:color="auto"/>
          <w:color w:val="auto"/>
        </w:rPr>
        <w:t>Payments Upon Voluntary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amounts described under the heading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Payments Upon Any Termination</w:t>
      </w:r>
      <w:r>
        <w:rPr>
          <w:rFonts w:ascii="Arial" w:cs="Arial" w:eastAsia="Arial" w:hAnsi="Arial"/>
          <w:sz w:val="18"/>
          <w:szCs w:val="18"/>
          <w:color w:val="auto"/>
        </w:rPr>
        <w:t>, upon a</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voluntary termination of employment, the named executive officer would be entitled to receive the lower of the amount of cash contributed to the Incentive Stock Plan or the current market value of the common stock units credited to the employee measured by the NYSE closing price of Martin Marietta’s common stock on the date of termination.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7" w:right="239" w:bottom="1440" w:gutter="0" w:footer="0" w:header="0"/>
        </w:sectPr>
      </w:pPr>
    </w:p>
    <w:bookmarkStart w:id="56" w:name="page57"/>
    <w:bookmarkEnd w:id="56"/>
    <w:p>
      <w:pPr>
        <w:jc w:val="both"/>
        <w:spacing w:after="0" w:line="244"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Upon Involuntary Not-For-Cause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amounts described under the heading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Payments Upon Any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 upon an involuntary termination of employment not for cause, the named executive officer would be entitled to receive a prorated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the common stock units credited to him or her under the Incentive Stock Plan paid out as shares of common stock and the remaining cash contribution invested by the employee in the plan.</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u w:val="single" w:color="auto"/>
          <w:color w:val="auto"/>
        </w:rPr>
        <w:t>Payments Upon Involuntary For-Cause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involuntary termination for cause, which is defined in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Protection Agreement and the Stock-Based Award Plan, the named executive officer would be entitled to receive the payments and benefits described under the heading </w:t>
      </w:r>
      <w:r>
        <w:rPr>
          <w:rFonts w:ascii="Arial" w:cs="Arial" w:eastAsia="Arial" w:hAnsi="Arial"/>
          <w:sz w:val="18"/>
          <w:szCs w:val="18"/>
          <w:i w:val="1"/>
          <w:iCs w:val="1"/>
          <w:color w:val="auto"/>
        </w:rPr>
        <w:t>Payments Upon Voluntary Termination</w:t>
      </w:r>
      <w:r>
        <w:rPr>
          <w:rFonts w:ascii="Arial" w:cs="Arial" w:eastAsia="Arial" w:hAnsi="Arial"/>
          <w:sz w:val="18"/>
          <w:szCs w:val="18"/>
          <w:color w:val="auto"/>
        </w:rPr>
        <w:t>.</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u w:val="single" w:color="auto"/>
          <w:color w:val="auto"/>
        </w:rPr>
        <w:t>Payments Upon Retirement.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the retirement at age 62 or above of a named executive officer, in addition to the items described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the heading </w:t>
      </w:r>
      <w:r>
        <w:rPr>
          <w:rFonts w:ascii="Arial" w:cs="Arial" w:eastAsia="Arial" w:hAnsi="Arial"/>
          <w:sz w:val="16"/>
          <w:szCs w:val="16"/>
          <w:i w:val="1"/>
          <w:iCs w:val="1"/>
          <w:color w:val="auto"/>
        </w:rPr>
        <w:t>Payments Upon Any Termination</w:t>
      </w:r>
      <w:r>
        <w:rPr>
          <w:rFonts w:ascii="Arial" w:cs="Arial" w:eastAsia="Arial" w:hAnsi="Arial"/>
          <w:sz w:val="16"/>
          <w:szCs w:val="16"/>
          <w:color w:val="auto"/>
        </w:rPr>
        <w:t xml:space="preserve">, the executive will continue to hold all outstanding options unaffected by the retirement and retain such options for the remainder of the outstanding term; will continue to hold all awards of performance-based restricted stock unit awards for the remainder of the outstanding term unaffected by the retirement; will vest in all outstanding awards of common stock units under the Incentive Stock Plan; will be eligible to receive health and welfare benefits as described under the heading </w:t>
      </w:r>
      <w:r>
        <w:rPr>
          <w:rFonts w:ascii="Arial" w:cs="Arial" w:eastAsia="Arial" w:hAnsi="Arial"/>
          <w:sz w:val="16"/>
          <w:szCs w:val="16"/>
          <w:i w:val="1"/>
          <w:iCs w:val="1"/>
          <w:color w:val="auto"/>
        </w:rPr>
        <w:t>Retiree Medical</w:t>
      </w:r>
      <w:r>
        <w:rPr>
          <w:rFonts w:ascii="Arial" w:cs="Arial" w:eastAsia="Arial" w:hAnsi="Arial"/>
          <w:sz w:val="16"/>
          <w:szCs w:val="16"/>
          <w:color w:val="auto"/>
        </w:rPr>
        <w:t xml:space="preserve"> on page 51 (except Mr. Nye, Mr. McCunniff and Mr. Grant, who are not eligible for Retiree Medical); and will continue to receive life insurance coverage until his or her death.</w:t>
      </w:r>
    </w:p>
    <w:p>
      <w:pPr>
        <w:spacing w:after="0" w:line="10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u w:val="single" w:color="auto"/>
          <w:color w:val="auto"/>
        </w:rPr>
        <w:t>Payments Made Upon Early 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the retirement prior to reaching age 62 but on or after reaching age 55, the named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officer will receive benefits as described under the heading </w:t>
      </w:r>
      <w:r>
        <w:rPr>
          <w:rFonts w:ascii="Arial" w:cs="Arial" w:eastAsia="Arial" w:hAnsi="Arial"/>
          <w:sz w:val="18"/>
          <w:szCs w:val="18"/>
          <w:i w:val="1"/>
          <w:iCs w:val="1"/>
          <w:color w:val="auto"/>
        </w:rPr>
        <w:t>Payments Upon Voluntary Termination</w:t>
      </w:r>
      <w:r>
        <w:rPr>
          <w:rFonts w:ascii="Arial" w:cs="Arial" w:eastAsia="Arial" w:hAnsi="Arial"/>
          <w:sz w:val="18"/>
          <w:szCs w:val="18"/>
          <w:color w:val="auto"/>
        </w:rPr>
        <w:t xml:space="preserve">. In addition, the named executive officer will receive reduced benefits of the type described under </w:t>
      </w:r>
      <w:r>
        <w:rPr>
          <w:rFonts w:ascii="Arial" w:cs="Arial" w:eastAsia="Arial" w:hAnsi="Arial"/>
          <w:sz w:val="18"/>
          <w:szCs w:val="18"/>
          <w:i w:val="1"/>
          <w:iCs w:val="1"/>
          <w:color w:val="auto"/>
        </w:rPr>
        <w:t>Pension Benefits</w:t>
      </w:r>
      <w:r>
        <w:rPr>
          <w:rFonts w:ascii="Arial" w:cs="Arial" w:eastAsia="Arial" w:hAnsi="Arial"/>
          <w:sz w:val="18"/>
          <w:szCs w:val="18"/>
          <w:color w:val="auto"/>
        </w:rPr>
        <w:t xml:space="preserve"> on page 51 and may be eligible for benefits described under the heading </w:t>
      </w:r>
      <w:r>
        <w:rPr>
          <w:rFonts w:ascii="Arial" w:cs="Arial" w:eastAsia="Arial" w:hAnsi="Arial"/>
          <w:sz w:val="18"/>
          <w:szCs w:val="18"/>
          <w:i w:val="1"/>
          <w:iCs w:val="1"/>
          <w:color w:val="auto"/>
        </w:rPr>
        <w:t>Retiree Medical</w:t>
      </w:r>
      <w:r>
        <w:rPr>
          <w:rFonts w:ascii="Arial" w:cs="Arial" w:eastAsia="Arial" w:hAnsi="Arial"/>
          <w:sz w:val="18"/>
          <w:szCs w:val="18"/>
          <w:color w:val="auto"/>
        </w:rPr>
        <w:t xml:space="preserve"> on page 51 at a higher cost.</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u w:val="single" w:color="auto"/>
          <w:color w:val="auto"/>
        </w:rPr>
        <w:t>Payments Upon Death or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the death or disability of a named executive officer, in addition to the payments and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the headings </w:t>
      </w:r>
      <w:r>
        <w:rPr>
          <w:rFonts w:ascii="Arial" w:cs="Arial" w:eastAsia="Arial" w:hAnsi="Arial"/>
          <w:sz w:val="18"/>
          <w:szCs w:val="18"/>
          <w:i w:val="1"/>
          <w:iCs w:val="1"/>
          <w:color w:val="auto"/>
        </w:rPr>
        <w:t>Payments Upon Any Termination</w:t>
      </w:r>
      <w:r>
        <w:rPr>
          <w:rFonts w:ascii="Arial" w:cs="Arial" w:eastAsia="Arial" w:hAnsi="Arial"/>
          <w:sz w:val="18"/>
          <w:szCs w:val="18"/>
          <w:color w:val="auto"/>
        </w:rPr>
        <w:t>, the named executive officer or their estate will receive benefits under Martin Marietta’s long-term disability plan or life insurance plan, as appropriate, and a death benefit payment equal to the then-current base salary of such employee paid under the Pension Plan plus one month base salary. In addition, in the event of death, all awards of restricted stock units and options will vest and the executive or their estate will have one year to exercise the options. In the event of disability, the executive will continue to hold all outstanding options unaffected by the disability and retain such options for the remainder of the outstanding term; will continue to hold all awards of performance-based restricted stock unit awards for the remainder of the outstanding term unaffected by the disability; and will vest in all outstanding awards of common stock units under the Incentive Stock Plan.</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u w:val="single" w:color="auto"/>
          <w:color w:val="auto"/>
        </w:rPr>
        <w:t>Payments Upon a Change of Control</w:t>
      </w:r>
      <w:r>
        <w:rPr>
          <w:rFonts w:ascii="Arial" w:cs="Arial" w:eastAsia="Arial" w:hAnsi="Arial"/>
          <w:sz w:val="18"/>
          <w:szCs w:val="18"/>
          <w:color w:val="auto"/>
        </w:rPr>
        <w:t>. Martin Marietta has entered into Employment Protection Agreements, as amended from time to time, with</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named executive officers. The purpose of these agreements is to provide Martin Marietta’s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Martin Marietta or the combined voting power of Martin Marietta’s outstanding securities, (ii) consummation of a reorganization, merger or consolidation or sale or other disposition of all or substantially all of Martin Marietta’s assets following which Martin Marietta’s shareholders before such event fail to own more than 50% of the resulting entity, (iii) a change in the majority membership of the Board, or (iv) a liquidation or dissolution of Martin Marietta.</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(except as described below), Martin Marietta is obligated to pay the executive, in a lump sum, an amount equal to three times the sum of the executive’s base salary, annual bonus, perquisites and Martin Marietta’s match to the defined contribution plan; the payment of a pro-rata annual target bonus in the year of termination as determined under the Executive Incentive Plan (for Mr. Nye such target bonus is 100% for purposes of the Employment Protection Agreement); and a continuation of health, medical and other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69" w:right="239" w:bottom="1440" w:gutter="0" w:footer="0" w:header="0"/>
        </w:sectPr>
      </w:pPr>
    </w:p>
    <w:bookmarkStart w:id="57" w:name="page58"/>
    <w:bookmarkEnd w:id="57"/>
    <w:p>
      <w:pPr>
        <w:jc w:val="both"/>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insurance benefits for a period of three years following termination. The rationale for selecting these triggers is to encourage the named executive officers to remain focused on Martin Marietta, its performance and matters that are in the best interests of its shareholders rather than be distracted by the personal impact to their employment that the Change of Control may have. The rationale for selecting the latter trigger is to provide an incentive for the executive to remain with Martin Marietta for at least two years following a Change of Control and provide a limited period during which the executive could terminate his or her employment for no reason and obtain payment under his or her Employment Protection Agreement.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three years following termination of employment, Martin Marietta must provide the executive with welfare benefits that are generally as favorable as those the executive enjoyed prior to the Change of Control. Executives also are credited with an additional three years of service under the defined benefit plan, are eligible to retire after age 55 without reduction in benefits and with a lump sum payment based on a 0% discount rate. Martin Marietta must also continue to provide the executive all benefits provided under Martin Marietta’s defined benefit and defined contribution retirement plans and provide the executive with the same retiree medical benefits that were in effect for retirees immediately prior to the Change of Control. Furthermore, the agreements provide for “gross up” payments to compensate the executives for any golden parachute excise taxes imposed under the Internal Revenue Code on account of the severance amounts. Gross-up payments are provided to ensure that executives retain the full value of these awards in these termination scenarios. The agreements also have confidentiality requirements to ensure that the executives do not disclose any confidential information relating to Martin Marietta.</w:t>
      </w:r>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result in a Change of Control, then under no circumstances will the agreements terminate prior to 31 days after the second anniversary of the Change of Control.</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addition, Martin Marietta’s Amended and Restated Stock-Based Award Plan, pursuant to which equity-based awards are made to the executive officers, provides that upon the occurrence of a change of control of Martin Marietta as provided in the Employment Protection Agreements, all time periods for purposes of vesting in, or realizing gain from, any outstanding award under the plan will automatically accelerate.</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u w:val="single" w:color="auto"/>
          <w:color w:val="auto"/>
        </w:rPr>
        <w:t>Value of Payments Upon Termination</w:t>
      </w:r>
      <w:r>
        <w:rPr>
          <w:rFonts w:ascii="Arial" w:cs="Arial" w:eastAsia="Arial" w:hAnsi="Arial"/>
          <w:sz w:val="18"/>
          <w:szCs w:val="18"/>
          <w:color w:val="auto"/>
        </w:rPr>
        <w:t>. The following tables show the potential incremental value of payments to each of our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upon termination, including in the event of a Change of Control of Martin Marietta, assuming a December 31, 2014 termination date and, where applicable, using the NYSE closing price of our common stock of $110.32 on December 31, 2014.</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91" w:right="23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POTENTIAL INCREMENTAL VALUE OF PAYMENTS UPON TERMINATION</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OR CHANGE OF CONTROL AT DECEMBER 31, 2014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47829E"/>
          </w:tcPr>
          <w:p>
            <w:pPr>
              <w:spacing w:after="0"/>
              <w:rPr>
                <w:sz w:val="14"/>
                <w:szCs w:val="14"/>
                <w:color w:val="auto"/>
              </w:rPr>
            </w:pPr>
          </w:p>
        </w:tc>
        <w:tc>
          <w:tcPr>
            <w:tcW w:w="1820" w:type="dxa"/>
            <w:vAlign w:val="bottom"/>
            <w:shd w:val="clear" w:color="auto" w:fill="47829E"/>
          </w:tcPr>
          <w:p>
            <w:pPr>
              <w:spacing w:after="0"/>
              <w:rPr>
                <w:sz w:val="14"/>
                <w:szCs w:val="14"/>
                <w:color w:val="auto"/>
              </w:rPr>
            </w:pPr>
          </w:p>
        </w:tc>
        <w:tc>
          <w:tcPr>
            <w:tcW w:w="100" w:type="dxa"/>
            <w:vAlign w:val="bottom"/>
            <w:tcBorders>
              <w:left w:val="single" w:sz="8" w:color="47829E"/>
            </w:tcBorders>
            <w:shd w:val="clear" w:color="auto" w:fill="47829E"/>
          </w:tcPr>
          <w:p>
            <w:pPr>
              <w:spacing w:after="0"/>
              <w:rPr>
                <w:sz w:val="14"/>
                <w:szCs w:val="14"/>
                <w:color w:val="auto"/>
              </w:rPr>
            </w:pPr>
          </w:p>
        </w:tc>
        <w:tc>
          <w:tcPr>
            <w:tcW w:w="4460" w:type="dxa"/>
            <w:vAlign w:val="bottom"/>
            <w:tcBorders>
              <w:right w:val="single" w:sz="8" w:color="47829E"/>
            </w:tcBorders>
            <w:shd w:val="clear" w:color="auto" w:fill="47829E"/>
          </w:tcPr>
          <w:p>
            <w:pPr>
              <w:spacing w:after="0"/>
              <w:rPr>
                <w:sz w:val="14"/>
                <w:szCs w:val="14"/>
                <w:color w:val="auto"/>
              </w:rPr>
            </w:pPr>
          </w:p>
        </w:tc>
        <w:tc>
          <w:tcPr>
            <w:tcW w:w="100" w:type="dxa"/>
            <w:vAlign w:val="bottom"/>
            <w:shd w:val="clear" w:color="auto" w:fill="47829E"/>
          </w:tcPr>
          <w:p>
            <w:pPr>
              <w:spacing w:after="0"/>
              <w:rPr>
                <w:sz w:val="14"/>
                <w:szCs w:val="14"/>
                <w:color w:val="auto"/>
              </w:rPr>
            </w:pPr>
          </w:p>
        </w:tc>
        <w:tc>
          <w:tcPr>
            <w:tcW w:w="1000" w:type="dxa"/>
            <w:vAlign w:val="bottom"/>
            <w:tcBorders>
              <w:right w:val="single" w:sz="8" w:color="47829E"/>
            </w:tcBorders>
            <w:shd w:val="clear" w:color="auto" w:fill="47829E"/>
          </w:tcPr>
          <w:p>
            <w:pPr>
              <w:spacing w:after="0"/>
              <w:rPr>
                <w:sz w:val="14"/>
                <w:szCs w:val="14"/>
                <w:color w:val="auto"/>
              </w:rPr>
            </w:pPr>
          </w:p>
        </w:tc>
        <w:tc>
          <w:tcPr>
            <w:tcW w:w="11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95"/>
              </w:rPr>
              <w:t>Involuntary</w:t>
            </w:r>
          </w:p>
        </w:tc>
        <w:tc>
          <w:tcPr>
            <w:tcW w:w="880" w:type="dxa"/>
            <w:vAlign w:val="bottom"/>
            <w:tcBorders>
              <w:right w:val="single" w:sz="8" w:color="47829E"/>
            </w:tcBorders>
            <w:shd w:val="clear" w:color="auto" w:fill="47829E"/>
          </w:tcPr>
          <w:p>
            <w:pPr>
              <w:spacing w:after="0"/>
              <w:rPr>
                <w:sz w:val="14"/>
                <w:szCs w:val="14"/>
                <w:color w:val="auto"/>
              </w:rPr>
            </w:pPr>
          </w:p>
        </w:tc>
        <w:tc>
          <w:tcPr>
            <w:tcW w:w="900" w:type="dxa"/>
            <w:vAlign w:val="bottom"/>
            <w:tcBorders>
              <w:right w:val="single" w:sz="8" w:color="47829E"/>
            </w:tcBorders>
            <w:shd w:val="clear" w:color="auto" w:fill="47829E"/>
          </w:tcPr>
          <w:p>
            <w:pPr>
              <w:spacing w:after="0"/>
              <w:rPr>
                <w:sz w:val="14"/>
                <w:szCs w:val="14"/>
                <w:color w:val="auto"/>
              </w:rPr>
            </w:pPr>
          </w:p>
        </w:tc>
        <w:tc>
          <w:tcPr>
            <w:tcW w:w="1000" w:type="dxa"/>
            <w:vAlign w:val="bottom"/>
            <w:tcBorders>
              <w:right w:val="single" w:sz="8" w:color="47829E"/>
            </w:tcBorders>
            <w:shd w:val="clear" w:color="auto" w:fill="47829E"/>
          </w:tcPr>
          <w:p>
            <w:pPr>
              <w:jc w:val="center"/>
              <w:ind w:right="72"/>
              <w:spacing w:after="0"/>
              <w:rPr>
                <w:sz w:val="20"/>
                <w:szCs w:val="20"/>
                <w:color w:val="auto"/>
              </w:rPr>
            </w:pPr>
            <w:r>
              <w:rPr>
                <w:rFonts w:ascii="Arial" w:cs="Arial" w:eastAsia="Arial" w:hAnsi="Arial"/>
                <w:sz w:val="14"/>
                <w:szCs w:val="14"/>
                <w:b w:val="1"/>
                <w:bCs w:val="1"/>
                <w:color w:val="FFFFFF"/>
                <w:w w:val="96"/>
              </w:rPr>
              <w:t>Change-</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shd w:val="clear" w:color="auto" w:fill="47829E"/>
          </w:tcPr>
          <w:p>
            <w:pPr>
              <w:spacing w:after="0"/>
              <w:rPr>
                <w:sz w:val="12"/>
                <w:szCs w:val="12"/>
                <w:color w:val="auto"/>
              </w:rPr>
            </w:pPr>
          </w:p>
        </w:tc>
        <w:tc>
          <w:tcPr>
            <w:tcW w:w="100" w:type="dxa"/>
            <w:vAlign w:val="bottom"/>
            <w:tcBorders>
              <w:left w:val="single" w:sz="8" w:color="47829E"/>
            </w:tcBorders>
            <w:shd w:val="clear" w:color="auto" w:fill="47829E"/>
          </w:tcPr>
          <w:p>
            <w:pPr>
              <w:spacing w:after="0"/>
              <w:rPr>
                <w:sz w:val="12"/>
                <w:szCs w:val="12"/>
                <w:color w:val="auto"/>
              </w:rPr>
            </w:pPr>
          </w:p>
        </w:tc>
        <w:tc>
          <w:tcPr>
            <w:tcW w:w="4460" w:type="dxa"/>
            <w:vAlign w:val="bottom"/>
            <w:tcBorders>
              <w:right w:val="single" w:sz="8" w:color="47829E"/>
            </w:tcBorders>
            <w:shd w:val="clear" w:color="auto" w:fill="47829E"/>
          </w:tcPr>
          <w:p>
            <w:pPr>
              <w:spacing w:after="0"/>
              <w:rPr>
                <w:sz w:val="12"/>
                <w:szCs w:val="12"/>
                <w:color w:val="auto"/>
              </w:rPr>
            </w:pPr>
          </w:p>
        </w:tc>
        <w:tc>
          <w:tcPr>
            <w:tcW w:w="100" w:type="dxa"/>
            <w:vAlign w:val="bottom"/>
            <w:shd w:val="clear" w:color="auto" w:fill="47829E"/>
          </w:tcPr>
          <w:p>
            <w:pPr>
              <w:spacing w:after="0"/>
              <w:rPr>
                <w:sz w:val="12"/>
                <w:szCs w:val="12"/>
                <w:color w:val="auto"/>
              </w:rPr>
            </w:pPr>
          </w:p>
        </w:tc>
        <w:tc>
          <w:tcPr>
            <w:tcW w:w="1000" w:type="dxa"/>
            <w:vAlign w:val="bottom"/>
            <w:tcBorders>
              <w:right w:val="single" w:sz="8" w:color="47829E"/>
            </w:tcBorders>
            <w:vMerge w:val="restart"/>
            <w:shd w:val="clear" w:color="auto" w:fill="47829E"/>
          </w:tcPr>
          <w:p>
            <w:pPr>
              <w:jc w:val="right"/>
              <w:ind w:right="92"/>
              <w:spacing w:after="0"/>
              <w:rPr>
                <w:sz w:val="20"/>
                <w:szCs w:val="20"/>
                <w:color w:val="auto"/>
              </w:rPr>
            </w:pPr>
            <w:r>
              <w:rPr>
                <w:rFonts w:ascii="Arial" w:cs="Arial" w:eastAsia="Arial" w:hAnsi="Arial"/>
                <w:sz w:val="14"/>
                <w:szCs w:val="14"/>
                <w:b w:val="1"/>
                <w:bCs w:val="1"/>
                <w:color w:val="FFFFFF"/>
                <w:w w:val="91"/>
              </w:rPr>
              <w:t>Retirement</w:t>
            </w:r>
            <w:r>
              <w:rPr>
                <w:rFonts w:ascii="Arial" w:cs="Arial" w:eastAsia="Arial" w:hAnsi="Arial"/>
                <w:sz w:val="22"/>
                <w:szCs w:val="22"/>
                <w:b w:val="1"/>
                <w:bCs w:val="1"/>
                <w:color w:val="FFFFFF"/>
                <w:w w:val="91"/>
                <w:vertAlign w:val="superscript"/>
              </w:rPr>
              <w:t>10</w:t>
            </w:r>
          </w:p>
        </w:tc>
        <w:tc>
          <w:tcPr>
            <w:tcW w:w="116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6"/>
              </w:rPr>
              <w:t>Not-for-Cause</w:t>
            </w:r>
          </w:p>
        </w:tc>
        <w:tc>
          <w:tcPr>
            <w:tcW w:w="880" w:type="dxa"/>
            <w:vAlign w:val="bottom"/>
            <w:tcBorders>
              <w:right w:val="single" w:sz="8" w:color="47829E"/>
            </w:tcBorders>
            <w:shd w:val="clear" w:color="auto" w:fill="47829E"/>
          </w:tcPr>
          <w:p>
            <w:pPr>
              <w:spacing w:after="0"/>
              <w:rPr>
                <w:sz w:val="12"/>
                <w:szCs w:val="12"/>
                <w:color w:val="auto"/>
              </w:rPr>
            </w:pPr>
          </w:p>
        </w:tc>
        <w:tc>
          <w:tcPr>
            <w:tcW w:w="900" w:type="dxa"/>
            <w:vAlign w:val="bottom"/>
            <w:tcBorders>
              <w:right w:val="single" w:sz="8" w:color="47829E"/>
            </w:tcBorders>
            <w:shd w:val="clear" w:color="auto" w:fill="47829E"/>
          </w:tcPr>
          <w:p>
            <w:pPr>
              <w:spacing w:after="0"/>
              <w:rPr>
                <w:sz w:val="12"/>
                <w:szCs w:val="12"/>
                <w:color w:val="auto"/>
              </w:rPr>
            </w:pPr>
          </w:p>
        </w:tc>
        <w:tc>
          <w:tcPr>
            <w:tcW w:w="1000" w:type="dxa"/>
            <w:vAlign w:val="bottom"/>
            <w:tcBorders>
              <w:right w:val="single" w:sz="8" w:color="47829E"/>
            </w:tcBorders>
            <w:shd w:val="clear" w:color="auto" w:fill="47829E"/>
          </w:tcPr>
          <w:p>
            <w:pPr>
              <w:jc w:val="center"/>
              <w:ind w:right="52"/>
              <w:spacing w:after="0" w:line="149" w:lineRule="exact"/>
              <w:rPr>
                <w:sz w:val="20"/>
                <w:szCs w:val="20"/>
                <w:color w:val="auto"/>
              </w:rPr>
            </w:pPr>
            <w:r>
              <w:rPr>
                <w:rFonts w:ascii="Arial" w:cs="Arial" w:eastAsia="Arial" w:hAnsi="Arial"/>
                <w:sz w:val="14"/>
                <w:szCs w:val="14"/>
                <w:b w:val="1"/>
                <w:bCs w:val="1"/>
                <w:color w:val="FFFFFF"/>
                <w:w w:val="89"/>
              </w:rPr>
              <w:t>of-</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shd w:val="clear" w:color="auto" w:fill="47829E"/>
          </w:tcPr>
          <w:p>
            <w:pPr>
              <w:spacing w:after="0"/>
              <w:rPr>
                <w:sz w:val="12"/>
                <w:szCs w:val="12"/>
                <w:color w:val="auto"/>
              </w:rPr>
            </w:pPr>
          </w:p>
        </w:tc>
        <w:tc>
          <w:tcPr>
            <w:tcW w:w="100" w:type="dxa"/>
            <w:vAlign w:val="bottom"/>
            <w:tcBorders>
              <w:left w:val="single" w:sz="8" w:color="47829E"/>
            </w:tcBorders>
            <w:shd w:val="clear" w:color="auto" w:fill="47829E"/>
          </w:tcPr>
          <w:p>
            <w:pPr>
              <w:spacing w:after="0"/>
              <w:rPr>
                <w:sz w:val="12"/>
                <w:szCs w:val="12"/>
                <w:color w:val="auto"/>
              </w:rPr>
            </w:pPr>
          </w:p>
        </w:tc>
        <w:tc>
          <w:tcPr>
            <w:tcW w:w="4460" w:type="dxa"/>
            <w:vAlign w:val="bottom"/>
            <w:tcBorders>
              <w:right w:val="single" w:sz="8" w:color="47829E"/>
            </w:tcBorders>
            <w:vMerge w:val="restart"/>
            <w:shd w:val="clear" w:color="auto" w:fill="47829E"/>
          </w:tcPr>
          <w:p>
            <w:pPr>
              <w:ind w:left="1580"/>
              <w:spacing w:after="0"/>
              <w:rPr>
                <w:sz w:val="20"/>
                <w:szCs w:val="20"/>
                <w:color w:val="auto"/>
              </w:rPr>
            </w:pPr>
            <w:r>
              <w:rPr>
                <w:rFonts w:ascii="Arial" w:cs="Arial" w:eastAsia="Arial" w:hAnsi="Arial"/>
                <w:sz w:val="14"/>
                <w:szCs w:val="14"/>
                <w:b w:val="1"/>
                <w:bCs w:val="1"/>
                <w:color w:val="FFFFFF"/>
              </w:rPr>
              <w:t>Benefit or Payment</w:t>
            </w:r>
            <w:r>
              <w:rPr>
                <w:rFonts w:ascii="Arial" w:cs="Arial" w:eastAsia="Arial" w:hAnsi="Arial"/>
                <w:sz w:val="22"/>
                <w:szCs w:val="22"/>
                <w:b w:val="1"/>
                <w:bCs w:val="1"/>
                <w:color w:val="FFFFFF"/>
                <w:vertAlign w:val="superscript"/>
              </w:rPr>
              <w:t>1</w:t>
            </w:r>
          </w:p>
        </w:tc>
        <w:tc>
          <w:tcPr>
            <w:tcW w:w="100" w:type="dxa"/>
            <w:vAlign w:val="bottom"/>
            <w:shd w:val="clear" w:color="auto" w:fill="47829E"/>
          </w:tcPr>
          <w:p>
            <w:pPr>
              <w:spacing w:after="0"/>
              <w:rPr>
                <w:sz w:val="12"/>
                <w:szCs w:val="12"/>
                <w:color w:val="auto"/>
              </w:rPr>
            </w:pPr>
          </w:p>
        </w:tc>
        <w:tc>
          <w:tcPr>
            <w:tcW w:w="1000" w:type="dxa"/>
            <w:vAlign w:val="bottom"/>
            <w:tcBorders>
              <w:right w:val="single" w:sz="8" w:color="47829E"/>
            </w:tcBorders>
            <w:vMerge w:val="continue"/>
            <w:shd w:val="clear" w:color="auto" w:fill="47829E"/>
          </w:tcPr>
          <w:p>
            <w:pPr>
              <w:spacing w:after="0"/>
              <w:rPr>
                <w:sz w:val="12"/>
                <w:szCs w:val="12"/>
                <w:color w:val="auto"/>
              </w:rPr>
            </w:pPr>
          </w:p>
        </w:tc>
        <w:tc>
          <w:tcPr>
            <w:tcW w:w="1160" w:type="dxa"/>
            <w:vAlign w:val="bottom"/>
            <w:tcBorders>
              <w:right w:val="single" w:sz="8" w:color="47829E"/>
            </w:tcBorders>
            <w:shd w:val="clear" w:color="auto" w:fill="47829E"/>
          </w:tcPr>
          <w:p>
            <w:pPr>
              <w:jc w:val="center"/>
              <w:spacing w:after="0" w:line="149" w:lineRule="exact"/>
              <w:rPr>
                <w:sz w:val="20"/>
                <w:szCs w:val="20"/>
                <w:color w:val="auto"/>
              </w:rPr>
            </w:pPr>
            <w:r>
              <w:rPr>
                <w:rFonts w:ascii="Arial" w:cs="Arial" w:eastAsia="Arial" w:hAnsi="Arial"/>
                <w:sz w:val="14"/>
                <w:szCs w:val="14"/>
                <w:b w:val="1"/>
                <w:bCs w:val="1"/>
                <w:color w:val="FFFFFF"/>
                <w:w w:val="94"/>
              </w:rPr>
              <w:t>Termination</w:t>
            </w:r>
          </w:p>
        </w:tc>
        <w:tc>
          <w:tcPr>
            <w:tcW w:w="880" w:type="dxa"/>
            <w:vAlign w:val="bottom"/>
            <w:tcBorders>
              <w:right w:val="single" w:sz="8" w:color="47829E"/>
            </w:tcBorders>
            <w:shd w:val="clear" w:color="auto" w:fill="47829E"/>
          </w:tcPr>
          <w:p>
            <w:pPr>
              <w:jc w:val="right"/>
              <w:ind w:right="92"/>
              <w:spacing w:after="0" w:line="149" w:lineRule="exact"/>
              <w:rPr>
                <w:sz w:val="20"/>
                <w:szCs w:val="20"/>
                <w:color w:val="auto"/>
              </w:rPr>
            </w:pPr>
            <w:r>
              <w:rPr>
                <w:rFonts w:ascii="Arial" w:cs="Arial" w:eastAsia="Arial" w:hAnsi="Arial"/>
                <w:sz w:val="14"/>
                <w:szCs w:val="14"/>
                <w:b w:val="1"/>
                <w:bCs w:val="1"/>
                <w:color w:val="FFFFFF"/>
              </w:rPr>
              <w:t>Disability</w:t>
            </w:r>
          </w:p>
        </w:tc>
        <w:tc>
          <w:tcPr>
            <w:tcW w:w="900" w:type="dxa"/>
            <w:vAlign w:val="bottom"/>
            <w:tcBorders>
              <w:right w:val="single" w:sz="8" w:color="47829E"/>
            </w:tcBorders>
            <w:shd w:val="clear" w:color="auto" w:fill="47829E"/>
          </w:tcPr>
          <w:p>
            <w:pPr>
              <w:jc w:val="right"/>
              <w:ind w:right="212"/>
              <w:spacing w:after="0" w:line="149" w:lineRule="exact"/>
              <w:rPr>
                <w:sz w:val="20"/>
                <w:szCs w:val="20"/>
                <w:color w:val="auto"/>
              </w:rPr>
            </w:pPr>
            <w:r>
              <w:rPr>
                <w:rFonts w:ascii="Arial" w:cs="Arial" w:eastAsia="Arial" w:hAnsi="Arial"/>
                <w:sz w:val="14"/>
                <w:szCs w:val="14"/>
                <w:b w:val="1"/>
                <w:bCs w:val="1"/>
                <w:color w:val="FFFFFF"/>
              </w:rPr>
              <w:t>Death</w:t>
            </w:r>
          </w:p>
        </w:tc>
        <w:tc>
          <w:tcPr>
            <w:tcW w:w="1000" w:type="dxa"/>
            <w:vAlign w:val="bottom"/>
            <w:tcBorders>
              <w:right w:val="single" w:sz="8" w:color="47829E"/>
            </w:tcBorders>
            <w:shd w:val="clear" w:color="auto" w:fill="47829E"/>
          </w:tcPr>
          <w:p>
            <w:pPr>
              <w:jc w:val="center"/>
              <w:ind w:right="52"/>
              <w:spacing w:after="0" w:line="149" w:lineRule="exact"/>
              <w:rPr>
                <w:sz w:val="20"/>
                <w:szCs w:val="20"/>
                <w:color w:val="auto"/>
              </w:rPr>
            </w:pPr>
            <w:r>
              <w:rPr>
                <w:rFonts w:ascii="Arial" w:cs="Arial" w:eastAsia="Arial" w:hAnsi="Arial"/>
                <w:sz w:val="14"/>
                <w:szCs w:val="14"/>
                <w:b w:val="1"/>
                <w:bCs w:val="1"/>
                <w:color w:val="FFFFFF"/>
                <w:w w:val="96"/>
              </w:rPr>
              <w:t>Control</w:t>
            </w:r>
          </w:p>
        </w:tc>
        <w:tc>
          <w:tcPr>
            <w:tcW w:w="0" w:type="dxa"/>
            <w:vAlign w:val="bottom"/>
          </w:tcPr>
          <w:p>
            <w:pPr>
              <w:spacing w:after="0"/>
              <w:rPr>
                <w:sz w:val="1"/>
                <w:szCs w:val="1"/>
                <w:color w:val="auto"/>
              </w:rPr>
            </w:pPr>
          </w:p>
        </w:tc>
      </w:tr>
      <w:tr>
        <w:trPr>
          <w:trHeight w:val="176"/>
        </w:trPr>
        <w:tc>
          <w:tcPr>
            <w:tcW w:w="20" w:type="dxa"/>
            <w:vAlign w:val="bottom"/>
            <w:shd w:val="clear" w:color="auto" w:fill="47829E"/>
          </w:tcPr>
          <w:p>
            <w:pPr>
              <w:spacing w:after="0"/>
              <w:rPr>
                <w:sz w:val="15"/>
                <w:szCs w:val="15"/>
                <w:color w:val="auto"/>
              </w:rPr>
            </w:pPr>
          </w:p>
        </w:tc>
        <w:tc>
          <w:tcPr>
            <w:tcW w:w="1820" w:type="dxa"/>
            <w:vAlign w:val="bottom"/>
            <w:shd w:val="clear" w:color="auto" w:fill="47829E"/>
          </w:tcPr>
          <w:p>
            <w:pPr>
              <w:ind w:left="100"/>
              <w:spacing w:after="0"/>
              <w:rPr>
                <w:sz w:val="20"/>
                <w:szCs w:val="20"/>
                <w:color w:val="auto"/>
              </w:rPr>
            </w:pPr>
            <w:r>
              <w:rPr>
                <w:rFonts w:ascii="Arial" w:cs="Arial" w:eastAsia="Arial" w:hAnsi="Arial"/>
                <w:sz w:val="14"/>
                <w:szCs w:val="14"/>
                <w:b w:val="1"/>
                <w:bCs w:val="1"/>
                <w:color w:val="FFFFFF"/>
              </w:rPr>
              <w:t>Name</w:t>
            </w:r>
          </w:p>
        </w:tc>
        <w:tc>
          <w:tcPr>
            <w:tcW w:w="100" w:type="dxa"/>
            <w:vAlign w:val="bottom"/>
            <w:tcBorders>
              <w:left w:val="single" w:sz="8" w:color="47829E"/>
            </w:tcBorders>
            <w:shd w:val="clear" w:color="auto" w:fill="47829E"/>
          </w:tcPr>
          <w:p>
            <w:pPr>
              <w:spacing w:after="0"/>
              <w:rPr>
                <w:sz w:val="15"/>
                <w:szCs w:val="15"/>
                <w:color w:val="auto"/>
              </w:rPr>
            </w:pPr>
          </w:p>
        </w:tc>
        <w:tc>
          <w:tcPr>
            <w:tcW w:w="4460" w:type="dxa"/>
            <w:vAlign w:val="bottom"/>
            <w:tcBorders>
              <w:right w:val="single" w:sz="8" w:color="47829E"/>
            </w:tcBorders>
            <w:vMerge w:val="continue"/>
            <w:shd w:val="clear" w:color="auto" w:fill="47829E"/>
          </w:tcPr>
          <w:p>
            <w:pPr>
              <w:spacing w:after="0"/>
              <w:rPr>
                <w:sz w:val="15"/>
                <w:szCs w:val="15"/>
                <w:color w:val="auto"/>
              </w:rPr>
            </w:pPr>
          </w:p>
        </w:tc>
        <w:tc>
          <w:tcPr>
            <w:tcW w:w="1100" w:type="dxa"/>
            <w:vAlign w:val="bottom"/>
            <w:tcBorders>
              <w:right w:val="single" w:sz="8" w:color="47829E"/>
            </w:tcBorders>
            <w:gridSpan w:val="2"/>
            <w:shd w:val="clear" w:color="auto" w:fill="47829E"/>
          </w:tcPr>
          <w:p>
            <w:pPr>
              <w:jc w:val="right"/>
              <w:ind w:right="412"/>
              <w:spacing w:after="0"/>
              <w:rPr>
                <w:sz w:val="20"/>
                <w:szCs w:val="20"/>
                <w:color w:val="auto"/>
              </w:rPr>
            </w:pPr>
            <w:r>
              <w:rPr>
                <w:rFonts w:ascii="Arial" w:cs="Arial" w:eastAsia="Arial" w:hAnsi="Arial"/>
                <w:sz w:val="14"/>
                <w:szCs w:val="14"/>
                <w:b w:val="1"/>
                <w:bCs w:val="1"/>
                <w:color w:val="FFFFFF"/>
              </w:rPr>
              <w:t>($)</w:t>
            </w:r>
          </w:p>
        </w:tc>
        <w:tc>
          <w:tcPr>
            <w:tcW w:w="11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w w:val="93"/>
              </w:rPr>
              <w:t>($)</w:t>
            </w:r>
          </w:p>
        </w:tc>
        <w:tc>
          <w:tcPr>
            <w:tcW w:w="880" w:type="dxa"/>
            <w:vAlign w:val="bottom"/>
            <w:tcBorders>
              <w:right w:val="single" w:sz="8" w:color="47829E"/>
            </w:tcBorders>
            <w:shd w:val="clear" w:color="auto" w:fill="47829E"/>
          </w:tcPr>
          <w:p>
            <w:pPr>
              <w:jc w:val="right"/>
              <w:ind w:right="312"/>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right w:val="single" w:sz="8" w:color="47829E"/>
            </w:tcBorders>
            <w:shd w:val="clear" w:color="auto" w:fill="47829E"/>
          </w:tcPr>
          <w:p>
            <w:pPr>
              <w:jc w:val="right"/>
              <w:ind w:right="312"/>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right w:val="single" w:sz="8" w:color="47829E"/>
            </w:tcBorders>
            <w:shd w:val="clear" w:color="auto" w:fill="47829E"/>
          </w:tcPr>
          <w:p>
            <w:pPr>
              <w:jc w:val="center"/>
              <w:ind w:right="52"/>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122"/>
        </w:trPr>
        <w:tc>
          <w:tcPr>
            <w:tcW w:w="20" w:type="dxa"/>
            <w:vAlign w:val="bottom"/>
            <w:shd w:val="clear" w:color="auto" w:fill="47829E"/>
          </w:tcPr>
          <w:p>
            <w:pPr>
              <w:spacing w:after="0"/>
              <w:rPr>
                <w:sz w:val="10"/>
                <w:szCs w:val="10"/>
                <w:color w:val="auto"/>
              </w:rPr>
            </w:pPr>
          </w:p>
        </w:tc>
        <w:tc>
          <w:tcPr>
            <w:tcW w:w="1820" w:type="dxa"/>
            <w:vAlign w:val="bottom"/>
          </w:tcPr>
          <w:p>
            <w:pPr>
              <w:spacing w:after="0"/>
              <w:rPr>
                <w:sz w:val="10"/>
                <w:szCs w:val="10"/>
                <w:color w:val="auto"/>
              </w:rPr>
            </w:pPr>
          </w:p>
        </w:tc>
        <w:tc>
          <w:tcPr>
            <w:tcW w:w="4560" w:type="dxa"/>
            <w:vAlign w:val="bottom"/>
            <w:tcBorders>
              <w:left w:val="single" w:sz="8" w:color="47829E"/>
              <w:right w:val="single" w:sz="8" w:color="47829E"/>
            </w:tcBorders>
            <w:gridSpan w:val="2"/>
          </w:tcPr>
          <w:p>
            <w:pPr>
              <w:ind w:left="100"/>
              <w:spacing w:after="0" w:line="122" w:lineRule="exact"/>
              <w:rPr>
                <w:sz w:val="20"/>
                <w:szCs w:val="20"/>
                <w:color w:val="auto"/>
              </w:rPr>
            </w:pPr>
            <w:r>
              <w:rPr>
                <w:rFonts w:ascii="Arial" w:cs="Arial" w:eastAsia="Arial" w:hAnsi="Arial"/>
                <w:sz w:val="10"/>
                <w:szCs w:val="10"/>
                <w:color w:val="auto"/>
              </w:rPr>
              <w:t>Cash Severance</w:t>
            </w:r>
            <w:r>
              <w:rPr>
                <w:rFonts w:ascii="Arial" w:cs="Arial" w:eastAsia="Arial" w:hAnsi="Arial"/>
                <w:sz w:val="14"/>
                <w:szCs w:val="14"/>
                <w:color w:val="auto"/>
                <w:vertAlign w:val="superscript"/>
              </w:rPr>
              <w:t>2</w:t>
            </w:r>
          </w:p>
        </w:tc>
        <w:tc>
          <w:tcPr>
            <w:tcW w:w="100" w:type="dxa"/>
            <w:vAlign w:val="bottom"/>
          </w:tcPr>
          <w:p>
            <w:pPr>
              <w:spacing w:after="0"/>
              <w:rPr>
                <w:sz w:val="10"/>
                <w:szCs w:val="10"/>
                <w:color w:val="auto"/>
              </w:rPr>
            </w:pPr>
          </w:p>
        </w:tc>
        <w:tc>
          <w:tcPr>
            <w:tcW w:w="1000" w:type="dxa"/>
            <w:vAlign w:val="bottom"/>
            <w:tcBorders>
              <w:right w:val="single" w:sz="8" w:color="47829E"/>
            </w:tcBorders>
          </w:tcPr>
          <w:p>
            <w:pPr>
              <w:spacing w:after="0"/>
              <w:rPr>
                <w:sz w:val="10"/>
                <w:szCs w:val="10"/>
                <w:color w:val="auto"/>
              </w:rPr>
            </w:pPr>
          </w:p>
        </w:tc>
        <w:tc>
          <w:tcPr>
            <w:tcW w:w="1160" w:type="dxa"/>
            <w:vAlign w:val="bottom"/>
            <w:tcBorders>
              <w:right w:val="single" w:sz="8" w:color="47829E"/>
            </w:tcBorders>
          </w:tcPr>
          <w:p>
            <w:pPr>
              <w:spacing w:after="0"/>
              <w:rPr>
                <w:sz w:val="10"/>
                <w:szCs w:val="10"/>
                <w:color w:val="auto"/>
              </w:rPr>
            </w:pPr>
          </w:p>
        </w:tc>
        <w:tc>
          <w:tcPr>
            <w:tcW w:w="880" w:type="dxa"/>
            <w:vAlign w:val="bottom"/>
            <w:tcBorders>
              <w:right w:val="single" w:sz="8" w:color="47829E"/>
            </w:tcBorders>
          </w:tcPr>
          <w:p>
            <w:pPr>
              <w:spacing w:after="0"/>
              <w:rPr>
                <w:sz w:val="10"/>
                <w:szCs w:val="10"/>
                <w:color w:val="auto"/>
              </w:rPr>
            </w:pPr>
          </w:p>
        </w:tc>
        <w:tc>
          <w:tcPr>
            <w:tcW w:w="900" w:type="dxa"/>
            <w:vAlign w:val="bottom"/>
            <w:tcBorders>
              <w:right w:val="single" w:sz="8" w:color="47829E"/>
            </w:tcBorders>
          </w:tcPr>
          <w:p>
            <w:pPr>
              <w:spacing w:after="0"/>
              <w:rPr>
                <w:sz w:val="10"/>
                <w:szCs w:val="10"/>
                <w:color w:val="auto"/>
              </w:rPr>
            </w:pPr>
          </w:p>
        </w:tc>
        <w:tc>
          <w:tcPr>
            <w:tcW w:w="1000" w:type="dxa"/>
            <w:vAlign w:val="bottom"/>
            <w:tcBorders>
              <w:right w:val="single" w:sz="8" w:color="47829E"/>
            </w:tcBorders>
          </w:tcPr>
          <w:p>
            <w:pPr>
              <w:jc w:val="right"/>
              <w:ind w:right="132"/>
              <w:spacing w:after="0" w:line="122" w:lineRule="exact"/>
              <w:rPr>
                <w:sz w:val="20"/>
                <w:szCs w:val="20"/>
                <w:color w:val="auto"/>
              </w:rPr>
            </w:pPr>
            <w:r>
              <w:rPr>
                <w:rFonts w:ascii="Arial" w:cs="Arial" w:eastAsia="Arial" w:hAnsi="Arial"/>
                <w:sz w:val="14"/>
                <w:szCs w:val="14"/>
                <w:color w:val="auto"/>
              </w:rPr>
              <w:t>4,903,546</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spacing w:after="0"/>
              <w:rPr>
                <w:sz w:val="12"/>
                <w:szCs w:val="12"/>
                <w:color w:val="auto"/>
              </w:rPr>
            </w:pP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7"/>
                <w:szCs w:val="17"/>
                <w:color w:val="auto"/>
                <w:vertAlign w:val="superscript"/>
              </w:rPr>
              <w:t>3</w:t>
            </w:r>
          </w:p>
        </w:tc>
        <w:tc>
          <w:tcPr>
            <w:tcW w:w="1100" w:type="dxa"/>
            <w:vAlign w:val="bottom"/>
            <w:tcBorders>
              <w:right w:val="single" w:sz="8" w:color="47829E"/>
            </w:tcBorders>
            <w:gridSpan w:val="2"/>
          </w:tcPr>
          <w:p>
            <w:pPr>
              <w:jc w:val="right"/>
              <w:ind w:right="72"/>
              <w:spacing w:after="0" w:line="149" w:lineRule="exact"/>
              <w:rPr>
                <w:sz w:val="20"/>
                <w:szCs w:val="20"/>
                <w:color w:val="auto"/>
              </w:rPr>
            </w:pPr>
            <w:r>
              <w:rPr>
                <w:rFonts w:ascii="Arial" w:cs="Arial" w:eastAsia="Arial" w:hAnsi="Arial"/>
                <w:sz w:val="14"/>
                <w:szCs w:val="14"/>
                <w:color w:val="auto"/>
              </w:rPr>
              <w:t>5,578,441</w:t>
            </w:r>
          </w:p>
        </w:tc>
        <w:tc>
          <w:tcPr>
            <w:tcW w:w="116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5,578,441</w:t>
            </w:r>
          </w:p>
        </w:tc>
        <w:tc>
          <w:tcPr>
            <w:tcW w:w="90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5,578,441</w:t>
            </w: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5,578,441</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spacing w:after="0"/>
              <w:rPr>
                <w:sz w:val="12"/>
                <w:szCs w:val="12"/>
                <w:color w:val="auto"/>
              </w:rPr>
            </w:pP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7"/>
                <w:szCs w:val="17"/>
                <w:color w:val="auto"/>
                <w:vertAlign w:val="superscript"/>
              </w:rPr>
              <w:t>4</w:t>
            </w:r>
          </w:p>
        </w:tc>
        <w:tc>
          <w:tcPr>
            <w:tcW w:w="100" w:type="dxa"/>
            <w:vAlign w:val="bottom"/>
          </w:tcPr>
          <w:p>
            <w:pPr>
              <w:spacing w:after="0"/>
              <w:rPr>
                <w:sz w:val="12"/>
                <w:szCs w:val="12"/>
                <w:color w:val="auto"/>
              </w:rPr>
            </w:pPr>
          </w:p>
        </w:tc>
        <w:tc>
          <w:tcPr>
            <w:tcW w:w="1000" w:type="dxa"/>
            <w:vAlign w:val="bottom"/>
            <w:tcBorders>
              <w:right w:val="single" w:sz="8" w:color="47829E"/>
            </w:tcBorders>
          </w:tcPr>
          <w:p>
            <w:pPr>
              <w:spacing w:after="0"/>
              <w:rPr>
                <w:sz w:val="12"/>
                <w:szCs w:val="12"/>
                <w:color w:val="auto"/>
              </w:rPr>
            </w:pPr>
          </w:p>
        </w:tc>
        <w:tc>
          <w:tcPr>
            <w:tcW w:w="116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432,577</w:t>
            </w:r>
          </w:p>
        </w:tc>
        <w:tc>
          <w:tcPr>
            <w:tcW w:w="90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432,577</w:t>
            </w: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432,577</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spacing w:after="0"/>
              <w:rPr>
                <w:sz w:val="12"/>
                <w:szCs w:val="12"/>
                <w:color w:val="auto"/>
              </w:rPr>
            </w:pP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7"/>
                <w:szCs w:val="17"/>
                <w:color w:val="auto"/>
                <w:vertAlign w:val="superscript"/>
              </w:rPr>
              <w:t>5</w:t>
            </w:r>
          </w:p>
        </w:tc>
        <w:tc>
          <w:tcPr>
            <w:tcW w:w="1100" w:type="dxa"/>
            <w:vAlign w:val="bottom"/>
            <w:tcBorders>
              <w:right w:val="single" w:sz="8" w:color="47829E"/>
            </w:tcBorders>
            <w:gridSpan w:val="2"/>
          </w:tcPr>
          <w:p>
            <w:pPr>
              <w:jc w:val="right"/>
              <w:ind w:right="72"/>
              <w:spacing w:after="0" w:line="149" w:lineRule="exact"/>
              <w:rPr>
                <w:sz w:val="20"/>
                <w:szCs w:val="20"/>
                <w:color w:val="auto"/>
              </w:rPr>
            </w:pPr>
            <w:r>
              <w:rPr>
                <w:rFonts w:ascii="Arial" w:cs="Arial" w:eastAsia="Arial" w:hAnsi="Arial"/>
                <w:sz w:val="14"/>
                <w:szCs w:val="14"/>
                <w:color w:val="auto"/>
              </w:rPr>
              <w:t>174,069</w:t>
            </w:r>
          </w:p>
        </w:tc>
        <w:tc>
          <w:tcPr>
            <w:tcW w:w="1160" w:type="dxa"/>
            <w:vAlign w:val="bottom"/>
            <w:tcBorders>
              <w:right w:val="single" w:sz="8" w:color="47829E"/>
            </w:tcBorders>
          </w:tcPr>
          <w:p>
            <w:pPr>
              <w:jc w:val="right"/>
              <w:ind w:right="72"/>
              <w:spacing w:after="0" w:line="149" w:lineRule="exact"/>
              <w:rPr>
                <w:sz w:val="20"/>
                <w:szCs w:val="20"/>
                <w:color w:val="auto"/>
              </w:rPr>
            </w:pPr>
            <w:r>
              <w:rPr>
                <w:rFonts w:ascii="Arial" w:cs="Arial" w:eastAsia="Arial" w:hAnsi="Arial"/>
                <w:sz w:val="14"/>
                <w:szCs w:val="14"/>
                <w:color w:val="auto"/>
              </w:rPr>
              <w:t>85,325</w:t>
            </w:r>
          </w:p>
        </w:tc>
        <w:tc>
          <w:tcPr>
            <w:tcW w:w="88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174,069</w:t>
            </w:r>
          </w:p>
        </w:tc>
        <w:tc>
          <w:tcPr>
            <w:tcW w:w="90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174,069</w:t>
            </w: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174,069</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 Howard Nye</w:t>
            </w: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1"/>
                <w:szCs w:val="11"/>
                <w:color w:val="auto"/>
              </w:rPr>
              <w:t>Performance Shares</w:t>
            </w:r>
            <w:r>
              <w:rPr>
                <w:rFonts w:ascii="Arial" w:cs="Arial" w:eastAsia="Arial" w:hAnsi="Arial"/>
                <w:sz w:val="17"/>
                <w:szCs w:val="17"/>
                <w:color w:val="auto"/>
                <w:vertAlign w:val="superscript"/>
              </w:rPr>
              <w:t>6</w:t>
            </w:r>
          </w:p>
        </w:tc>
        <w:tc>
          <w:tcPr>
            <w:tcW w:w="1100" w:type="dxa"/>
            <w:vAlign w:val="bottom"/>
            <w:tcBorders>
              <w:right w:val="single" w:sz="8" w:color="47829E"/>
            </w:tcBorders>
            <w:gridSpan w:val="2"/>
          </w:tcPr>
          <w:p>
            <w:pPr>
              <w:jc w:val="right"/>
              <w:ind w:right="72"/>
              <w:spacing w:after="0" w:line="149" w:lineRule="exact"/>
              <w:rPr>
                <w:sz w:val="20"/>
                <w:szCs w:val="20"/>
                <w:color w:val="auto"/>
              </w:rPr>
            </w:pPr>
            <w:r>
              <w:rPr>
                <w:rFonts w:ascii="Arial" w:cs="Arial" w:eastAsia="Arial" w:hAnsi="Arial"/>
                <w:sz w:val="14"/>
                <w:szCs w:val="14"/>
                <w:color w:val="auto"/>
              </w:rPr>
              <w:t>308,786</w:t>
            </w:r>
          </w:p>
        </w:tc>
        <w:tc>
          <w:tcPr>
            <w:tcW w:w="116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308,786</w:t>
            </w:r>
          </w:p>
        </w:tc>
        <w:tc>
          <w:tcPr>
            <w:tcW w:w="90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308,786</w:t>
            </w: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308,786</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spacing w:after="0"/>
              <w:rPr>
                <w:sz w:val="12"/>
                <w:szCs w:val="12"/>
                <w:color w:val="auto"/>
              </w:rPr>
            </w:pP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1"/>
                <w:szCs w:val="11"/>
                <w:color w:val="auto"/>
              </w:rPr>
              <w:t>Retirement Plans</w:t>
            </w:r>
            <w:r>
              <w:rPr>
                <w:rFonts w:ascii="Arial" w:cs="Arial" w:eastAsia="Arial" w:hAnsi="Arial"/>
                <w:sz w:val="17"/>
                <w:szCs w:val="17"/>
                <w:color w:val="auto"/>
                <w:vertAlign w:val="superscript"/>
              </w:rPr>
              <w:t>7</w:t>
            </w:r>
          </w:p>
        </w:tc>
        <w:tc>
          <w:tcPr>
            <w:tcW w:w="100" w:type="dxa"/>
            <w:vAlign w:val="bottom"/>
          </w:tcPr>
          <w:p>
            <w:pPr>
              <w:spacing w:after="0"/>
              <w:rPr>
                <w:sz w:val="12"/>
                <w:szCs w:val="12"/>
                <w:color w:val="auto"/>
              </w:rPr>
            </w:pPr>
          </w:p>
        </w:tc>
        <w:tc>
          <w:tcPr>
            <w:tcW w:w="1000" w:type="dxa"/>
            <w:vAlign w:val="bottom"/>
            <w:tcBorders>
              <w:right w:val="single" w:sz="8" w:color="47829E"/>
            </w:tcBorders>
          </w:tcPr>
          <w:p>
            <w:pPr>
              <w:spacing w:after="0"/>
              <w:rPr>
                <w:sz w:val="12"/>
                <w:szCs w:val="12"/>
                <w:color w:val="auto"/>
              </w:rPr>
            </w:pPr>
          </w:p>
        </w:tc>
        <w:tc>
          <w:tcPr>
            <w:tcW w:w="116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1,983,534</w:t>
            </w:r>
          </w:p>
        </w:tc>
        <w:tc>
          <w:tcPr>
            <w:tcW w:w="90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635,006</w:t>
            </w: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5,411,328</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spacing w:after="0"/>
              <w:rPr>
                <w:sz w:val="12"/>
                <w:szCs w:val="12"/>
                <w:color w:val="auto"/>
              </w:rPr>
            </w:pP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7"/>
                <w:szCs w:val="17"/>
                <w:color w:val="auto"/>
                <w:vertAlign w:val="superscript"/>
              </w:rPr>
              <w:t>8</w:t>
            </w:r>
          </w:p>
        </w:tc>
        <w:tc>
          <w:tcPr>
            <w:tcW w:w="100" w:type="dxa"/>
            <w:vAlign w:val="bottom"/>
          </w:tcPr>
          <w:p>
            <w:pPr>
              <w:spacing w:after="0"/>
              <w:rPr>
                <w:sz w:val="12"/>
                <w:szCs w:val="12"/>
                <w:color w:val="auto"/>
              </w:rPr>
            </w:pPr>
          </w:p>
        </w:tc>
        <w:tc>
          <w:tcPr>
            <w:tcW w:w="1000" w:type="dxa"/>
            <w:vAlign w:val="bottom"/>
            <w:tcBorders>
              <w:right w:val="single" w:sz="8" w:color="47829E"/>
            </w:tcBorders>
          </w:tcPr>
          <w:p>
            <w:pPr>
              <w:spacing w:after="0"/>
              <w:rPr>
                <w:sz w:val="12"/>
                <w:szCs w:val="12"/>
                <w:color w:val="auto"/>
              </w:rPr>
            </w:pPr>
          </w:p>
        </w:tc>
        <w:tc>
          <w:tcPr>
            <w:tcW w:w="116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71,203</w:t>
            </w:r>
          </w:p>
        </w:tc>
        <w:tc>
          <w:tcPr>
            <w:tcW w:w="0" w:type="dxa"/>
            <w:vAlign w:val="bottom"/>
          </w:tcPr>
          <w:p>
            <w:pPr>
              <w:spacing w:after="0"/>
              <w:rPr>
                <w:sz w:val="1"/>
                <w:szCs w:val="1"/>
                <w:color w:val="auto"/>
              </w:rPr>
            </w:pPr>
          </w:p>
        </w:tc>
      </w:tr>
      <w:tr>
        <w:trPr>
          <w:trHeight w:val="175"/>
        </w:trPr>
        <w:tc>
          <w:tcPr>
            <w:tcW w:w="20" w:type="dxa"/>
            <w:vAlign w:val="bottom"/>
            <w:shd w:val="clear" w:color="auto" w:fill="47829E"/>
          </w:tcPr>
          <w:p>
            <w:pPr>
              <w:spacing w:after="0"/>
              <w:rPr>
                <w:sz w:val="15"/>
                <w:szCs w:val="15"/>
                <w:color w:val="auto"/>
              </w:rPr>
            </w:pPr>
          </w:p>
        </w:tc>
        <w:tc>
          <w:tcPr>
            <w:tcW w:w="1820" w:type="dxa"/>
            <w:vAlign w:val="bottom"/>
          </w:tcPr>
          <w:p>
            <w:pPr>
              <w:spacing w:after="0"/>
              <w:rPr>
                <w:sz w:val="15"/>
                <w:szCs w:val="15"/>
                <w:color w:val="auto"/>
              </w:rPr>
            </w:pPr>
          </w:p>
        </w:tc>
        <w:tc>
          <w:tcPr>
            <w:tcW w:w="4560" w:type="dxa"/>
            <w:vAlign w:val="bottom"/>
            <w:tcBorders>
              <w:left w:val="single" w:sz="8" w:color="47829E"/>
              <w:right w:val="single" w:sz="8" w:color="47829E"/>
            </w:tcBorders>
            <w:gridSpan w:val="2"/>
          </w:tcPr>
          <w:p>
            <w:pPr>
              <w:ind w:left="100"/>
              <w:spacing w:after="0" w:line="175" w:lineRule="exact"/>
              <w:rPr>
                <w:sz w:val="20"/>
                <w:szCs w:val="20"/>
                <w:color w:val="auto"/>
              </w:rPr>
            </w:pPr>
            <w:r>
              <w:rPr>
                <w:rFonts w:ascii="Arial" w:cs="Arial" w:eastAsia="Arial" w:hAnsi="Arial"/>
                <w:sz w:val="13"/>
                <w:szCs w:val="13"/>
                <w:color w:val="auto"/>
              </w:rPr>
              <w:t>Retiree Medical Benefits</w:t>
            </w:r>
            <w:r>
              <w:rPr>
                <w:rFonts w:ascii="Arial" w:cs="Arial" w:eastAsia="Arial" w:hAnsi="Arial"/>
                <w:sz w:val="20"/>
                <w:szCs w:val="20"/>
                <w:color w:val="auto"/>
                <w:vertAlign w:val="superscript"/>
              </w:rPr>
              <w:t>9</w:t>
            </w:r>
          </w:p>
        </w:tc>
        <w:tc>
          <w:tcPr>
            <w:tcW w:w="100" w:type="dxa"/>
            <w:vAlign w:val="bottom"/>
          </w:tcPr>
          <w:p>
            <w:pPr>
              <w:spacing w:after="0"/>
              <w:rPr>
                <w:sz w:val="15"/>
                <w:szCs w:val="15"/>
                <w:color w:val="auto"/>
              </w:rPr>
            </w:pPr>
          </w:p>
        </w:tc>
        <w:tc>
          <w:tcPr>
            <w:tcW w:w="1000" w:type="dxa"/>
            <w:vAlign w:val="bottom"/>
            <w:tcBorders>
              <w:right w:val="single" w:sz="8" w:color="47829E"/>
            </w:tcBorders>
          </w:tcPr>
          <w:p>
            <w:pPr>
              <w:spacing w:after="0"/>
              <w:rPr>
                <w:sz w:val="15"/>
                <w:szCs w:val="15"/>
                <w:color w:val="auto"/>
              </w:rPr>
            </w:pPr>
          </w:p>
        </w:tc>
        <w:tc>
          <w:tcPr>
            <w:tcW w:w="1160" w:type="dxa"/>
            <w:vAlign w:val="bottom"/>
            <w:tcBorders>
              <w:right w:val="single" w:sz="8" w:color="47829E"/>
            </w:tcBorders>
          </w:tcPr>
          <w:p>
            <w:pPr>
              <w:spacing w:after="0"/>
              <w:rPr>
                <w:sz w:val="15"/>
                <w:szCs w:val="15"/>
                <w:color w:val="auto"/>
              </w:rPr>
            </w:pPr>
          </w:p>
        </w:tc>
        <w:tc>
          <w:tcPr>
            <w:tcW w:w="880" w:type="dxa"/>
            <w:vAlign w:val="bottom"/>
            <w:tcBorders>
              <w:right w:val="single" w:sz="8" w:color="47829E"/>
            </w:tcBorders>
          </w:tcPr>
          <w:p>
            <w:pPr>
              <w:spacing w:after="0"/>
              <w:rPr>
                <w:sz w:val="15"/>
                <w:szCs w:val="15"/>
                <w:color w:val="auto"/>
              </w:rPr>
            </w:pPr>
          </w:p>
        </w:tc>
        <w:tc>
          <w:tcPr>
            <w:tcW w:w="900" w:type="dxa"/>
            <w:vAlign w:val="bottom"/>
            <w:tcBorders>
              <w:right w:val="single" w:sz="8" w:color="47829E"/>
            </w:tcBorders>
          </w:tcPr>
          <w:p>
            <w:pPr>
              <w:spacing w:after="0"/>
              <w:rPr>
                <w:sz w:val="15"/>
                <w:szCs w:val="15"/>
                <w:color w:val="auto"/>
              </w:rPr>
            </w:pPr>
          </w:p>
        </w:tc>
        <w:tc>
          <w:tcPr>
            <w:tcW w:w="1000" w:type="dxa"/>
            <w:vAlign w:val="bottom"/>
            <w:tcBorders>
              <w:right w:val="single" w:sz="8" w:color="47829E"/>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spacing w:after="0"/>
              <w:rPr>
                <w:sz w:val="12"/>
                <w:szCs w:val="12"/>
                <w:color w:val="auto"/>
              </w:rPr>
            </w:pP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4"/>
                <w:szCs w:val="14"/>
                <w:color w:val="auto"/>
              </w:rPr>
              <w:t>Excise Tax &amp; Gross-up</w:t>
            </w:r>
          </w:p>
        </w:tc>
        <w:tc>
          <w:tcPr>
            <w:tcW w:w="100" w:type="dxa"/>
            <w:vAlign w:val="bottom"/>
          </w:tcPr>
          <w:p>
            <w:pPr>
              <w:spacing w:after="0"/>
              <w:rPr>
                <w:sz w:val="12"/>
                <w:szCs w:val="12"/>
                <w:color w:val="auto"/>
              </w:rPr>
            </w:pPr>
          </w:p>
        </w:tc>
        <w:tc>
          <w:tcPr>
            <w:tcW w:w="1000" w:type="dxa"/>
            <w:vAlign w:val="bottom"/>
            <w:tcBorders>
              <w:right w:val="single" w:sz="8" w:color="47829E"/>
            </w:tcBorders>
          </w:tcPr>
          <w:p>
            <w:pPr>
              <w:spacing w:after="0"/>
              <w:rPr>
                <w:sz w:val="12"/>
                <w:szCs w:val="12"/>
                <w:color w:val="auto"/>
              </w:rPr>
            </w:pPr>
          </w:p>
        </w:tc>
        <w:tc>
          <w:tcPr>
            <w:tcW w:w="116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6,773,323</w:t>
            </w:r>
          </w:p>
        </w:tc>
        <w:tc>
          <w:tcPr>
            <w:tcW w:w="0" w:type="dxa"/>
            <w:vAlign w:val="bottom"/>
          </w:tcPr>
          <w:p>
            <w:pPr>
              <w:spacing w:after="0"/>
              <w:rPr>
                <w:sz w:val="1"/>
                <w:szCs w:val="1"/>
                <w:color w:val="auto"/>
              </w:rPr>
            </w:pPr>
          </w:p>
        </w:tc>
      </w:tr>
      <w:tr>
        <w:trPr>
          <w:trHeight w:val="122"/>
        </w:trPr>
        <w:tc>
          <w:tcPr>
            <w:tcW w:w="20" w:type="dxa"/>
            <w:vAlign w:val="bottom"/>
            <w:shd w:val="clear" w:color="auto" w:fill="47829E"/>
          </w:tcPr>
          <w:p>
            <w:pPr>
              <w:spacing w:after="0"/>
              <w:rPr>
                <w:sz w:val="10"/>
                <w:szCs w:val="10"/>
                <w:color w:val="auto"/>
              </w:rPr>
            </w:pPr>
          </w:p>
        </w:tc>
        <w:tc>
          <w:tcPr>
            <w:tcW w:w="1820" w:type="dxa"/>
            <w:vAlign w:val="bottom"/>
            <w:shd w:val="clear" w:color="auto" w:fill="E3ECF0"/>
          </w:tcPr>
          <w:p>
            <w:pPr>
              <w:spacing w:after="0"/>
              <w:rPr>
                <w:sz w:val="10"/>
                <w:szCs w:val="10"/>
                <w:color w:val="auto"/>
              </w:rPr>
            </w:pPr>
          </w:p>
        </w:tc>
        <w:tc>
          <w:tcPr>
            <w:tcW w:w="100" w:type="dxa"/>
            <w:vAlign w:val="bottom"/>
            <w:tcBorders>
              <w:left w:val="single" w:sz="8" w:color="47829E"/>
            </w:tcBorders>
            <w:shd w:val="clear" w:color="auto" w:fill="E3ECF0"/>
          </w:tcPr>
          <w:p>
            <w:pPr>
              <w:spacing w:after="0"/>
              <w:rPr>
                <w:sz w:val="10"/>
                <w:szCs w:val="10"/>
                <w:color w:val="auto"/>
              </w:rPr>
            </w:pPr>
          </w:p>
        </w:tc>
        <w:tc>
          <w:tcPr>
            <w:tcW w:w="4460" w:type="dxa"/>
            <w:vAlign w:val="bottom"/>
            <w:tcBorders>
              <w:right w:val="single" w:sz="8" w:color="47829E"/>
            </w:tcBorders>
            <w:shd w:val="clear" w:color="auto" w:fill="E3ECF0"/>
          </w:tcPr>
          <w:p>
            <w:pPr>
              <w:spacing w:after="0" w:line="122" w:lineRule="exact"/>
              <w:rPr>
                <w:sz w:val="20"/>
                <w:szCs w:val="20"/>
                <w:color w:val="auto"/>
              </w:rPr>
            </w:pPr>
            <w:r>
              <w:rPr>
                <w:rFonts w:ascii="Arial" w:cs="Arial" w:eastAsia="Arial" w:hAnsi="Arial"/>
                <w:sz w:val="10"/>
                <w:szCs w:val="10"/>
                <w:color w:val="auto"/>
              </w:rPr>
              <w:t>Cash Severance</w:t>
            </w:r>
            <w:r>
              <w:rPr>
                <w:rFonts w:ascii="Arial" w:cs="Arial" w:eastAsia="Arial" w:hAnsi="Arial"/>
                <w:sz w:val="14"/>
                <w:szCs w:val="14"/>
                <w:color w:val="auto"/>
                <w:vertAlign w:val="superscript"/>
              </w:rPr>
              <w:t>2</w:t>
            </w:r>
          </w:p>
        </w:tc>
        <w:tc>
          <w:tcPr>
            <w:tcW w:w="100" w:type="dxa"/>
            <w:vAlign w:val="bottom"/>
            <w:shd w:val="clear" w:color="auto" w:fill="E3ECF0"/>
          </w:tcPr>
          <w:p>
            <w:pPr>
              <w:spacing w:after="0"/>
              <w:rPr>
                <w:sz w:val="10"/>
                <w:szCs w:val="10"/>
                <w:color w:val="auto"/>
              </w:rPr>
            </w:pPr>
          </w:p>
        </w:tc>
        <w:tc>
          <w:tcPr>
            <w:tcW w:w="1000" w:type="dxa"/>
            <w:vAlign w:val="bottom"/>
            <w:tcBorders>
              <w:right w:val="single" w:sz="8" w:color="47829E"/>
            </w:tcBorders>
            <w:shd w:val="clear" w:color="auto" w:fill="E3ECF0"/>
          </w:tcPr>
          <w:p>
            <w:pPr>
              <w:spacing w:after="0"/>
              <w:rPr>
                <w:sz w:val="10"/>
                <w:szCs w:val="10"/>
                <w:color w:val="auto"/>
              </w:rPr>
            </w:pPr>
          </w:p>
        </w:tc>
        <w:tc>
          <w:tcPr>
            <w:tcW w:w="1160" w:type="dxa"/>
            <w:vAlign w:val="bottom"/>
            <w:tcBorders>
              <w:right w:val="single" w:sz="8" w:color="47829E"/>
            </w:tcBorders>
            <w:shd w:val="clear" w:color="auto" w:fill="E3ECF0"/>
          </w:tcPr>
          <w:p>
            <w:pPr>
              <w:spacing w:after="0"/>
              <w:rPr>
                <w:sz w:val="10"/>
                <w:szCs w:val="10"/>
                <w:color w:val="auto"/>
              </w:rPr>
            </w:pPr>
          </w:p>
        </w:tc>
        <w:tc>
          <w:tcPr>
            <w:tcW w:w="880" w:type="dxa"/>
            <w:vAlign w:val="bottom"/>
            <w:tcBorders>
              <w:right w:val="single" w:sz="8" w:color="47829E"/>
            </w:tcBorders>
            <w:shd w:val="clear" w:color="auto" w:fill="E3ECF0"/>
          </w:tcPr>
          <w:p>
            <w:pPr>
              <w:spacing w:after="0"/>
              <w:rPr>
                <w:sz w:val="10"/>
                <w:szCs w:val="10"/>
                <w:color w:val="auto"/>
              </w:rPr>
            </w:pPr>
          </w:p>
        </w:tc>
        <w:tc>
          <w:tcPr>
            <w:tcW w:w="900" w:type="dxa"/>
            <w:vAlign w:val="bottom"/>
            <w:tcBorders>
              <w:right w:val="single" w:sz="8" w:color="47829E"/>
            </w:tcBorders>
            <w:shd w:val="clear" w:color="auto" w:fill="E3ECF0"/>
          </w:tcPr>
          <w:p>
            <w:pPr>
              <w:spacing w:after="0"/>
              <w:rPr>
                <w:sz w:val="10"/>
                <w:szCs w:val="10"/>
                <w:color w:val="auto"/>
              </w:rPr>
            </w:pPr>
          </w:p>
        </w:tc>
        <w:tc>
          <w:tcPr>
            <w:tcW w:w="1000" w:type="dxa"/>
            <w:vAlign w:val="bottom"/>
            <w:tcBorders>
              <w:right w:val="single" w:sz="8" w:color="47829E"/>
            </w:tcBorders>
            <w:shd w:val="clear" w:color="auto" w:fill="E3ECF0"/>
          </w:tcPr>
          <w:p>
            <w:pPr>
              <w:jc w:val="right"/>
              <w:ind w:right="132"/>
              <w:spacing w:after="0" w:line="122" w:lineRule="exact"/>
              <w:rPr>
                <w:sz w:val="20"/>
                <w:szCs w:val="20"/>
                <w:color w:val="auto"/>
              </w:rPr>
            </w:pPr>
            <w:r>
              <w:rPr>
                <w:rFonts w:ascii="Arial" w:cs="Arial" w:eastAsia="Arial" w:hAnsi="Arial"/>
                <w:sz w:val="14"/>
                <w:szCs w:val="14"/>
                <w:color w:val="auto"/>
              </w:rPr>
              <w:t>2,542,211</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shd w:val="clear" w:color="auto" w:fill="E3ECF0"/>
          </w:tcPr>
          <w:p>
            <w:pPr>
              <w:spacing w:after="0"/>
              <w:rPr>
                <w:sz w:val="12"/>
                <w:szCs w:val="12"/>
                <w:color w:val="auto"/>
              </w:rPr>
            </w:pPr>
          </w:p>
        </w:tc>
        <w:tc>
          <w:tcPr>
            <w:tcW w:w="100" w:type="dxa"/>
            <w:vAlign w:val="bottom"/>
            <w:tcBorders>
              <w:left w:val="single" w:sz="8" w:color="47829E"/>
            </w:tcBorders>
            <w:shd w:val="clear" w:color="auto" w:fill="E3ECF0"/>
          </w:tcPr>
          <w:p>
            <w:pPr>
              <w:spacing w:after="0"/>
              <w:rPr>
                <w:sz w:val="12"/>
                <w:szCs w:val="12"/>
                <w:color w:val="auto"/>
              </w:rPr>
            </w:pPr>
          </w:p>
        </w:tc>
        <w:tc>
          <w:tcPr>
            <w:tcW w:w="4460" w:type="dxa"/>
            <w:vAlign w:val="bottom"/>
            <w:tcBorders>
              <w:right w:val="single" w:sz="8" w:color="47829E"/>
            </w:tcBorders>
            <w:shd w:val="clear" w:color="auto" w:fill="E3ECF0"/>
          </w:tcPr>
          <w:p>
            <w:pPr>
              <w:spacing w:after="0" w:line="149"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7"/>
                <w:szCs w:val="17"/>
                <w:color w:val="auto"/>
                <w:vertAlign w:val="superscript"/>
              </w:rPr>
              <w:t>3</w:t>
            </w:r>
          </w:p>
        </w:tc>
        <w:tc>
          <w:tcPr>
            <w:tcW w:w="1100" w:type="dxa"/>
            <w:vAlign w:val="bottom"/>
            <w:tcBorders>
              <w:right w:val="single" w:sz="8" w:color="47829E"/>
            </w:tcBorders>
            <w:gridSpan w:val="2"/>
            <w:shd w:val="clear" w:color="auto" w:fill="E3ECF0"/>
          </w:tcPr>
          <w:p>
            <w:pPr>
              <w:jc w:val="right"/>
              <w:ind w:right="72"/>
              <w:spacing w:after="0" w:line="149" w:lineRule="exact"/>
              <w:rPr>
                <w:sz w:val="20"/>
                <w:szCs w:val="20"/>
                <w:color w:val="auto"/>
              </w:rPr>
            </w:pPr>
            <w:r>
              <w:rPr>
                <w:rFonts w:ascii="Arial" w:cs="Arial" w:eastAsia="Arial" w:hAnsi="Arial"/>
                <w:sz w:val="14"/>
                <w:szCs w:val="14"/>
                <w:color w:val="auto"/>
              </w:rPr>
              <w:t>2,375,741</w:t>
            </w:r>
          </w:p>
        </w:tc>
        <w:tc>
          <w:tcPr>
            <w:tcW w:w="1160" w:type="dxa"/>
            <w:vAlign w:val="bottom"/>
            <w:tcBorders>
              <w:right w:val="single" w:sz="8" w:color="47829E"/>
            </w:tcBorders>
            <w:shd w:val="clear" w:color="auto" w:fill="E3ECF0"/>
          </w:tcPr>
          <w:p>
            <w:pPr>
              <w:spacing w:after="0"/>
              <w:rPr>
                <w:sz w:val="12"/>
                <w:szCs w:val="12"/>
                <w:color w:val="auto"/>
              </w:rPr>
            </w:pPr>
          </w:p>
        </w:tc>
        <w:tc>
          <w:tcPr>
            <w:tcW w:w="88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2,375,741</w:t>
            </w:r>
          </w:p>
        </w:tc>
        <w:tc>
          <w:tcPr>
            <w:tcW w:w="90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2,375,741</w:t>
            </w:r>
          </w:p>
        </w:tc>
        <w:tc>
          <w:tcPr>
            <w:tcW w:w="1000" w:type="dxa"/>
            <w:vAlign w:val="bottom"/>
            <w:tcBorders>
              <w:right w:val="single" w:sz="8" w:color="47829E"/>
            </w:tcBorders>
            <w:shd w:val="clear" w:color="auto" w:fill="E3ECF0"/>
          </w:tcPr>
          <w:p>
            <w:pPr>
              <w:jc w:val="right"/>
              <w:ind w:right="132"/>
              <w:spacing w:after="0" w:line="149" w:lineRule="exact"/>
              <w:rPr>
                <w:sz w:val="20"/>
                <w:szCs w:val="20"/>
                <w:color w:val="auto"/>
              </w:rPr>
            </w:pPr>
            <w:r>
              <w:rPr>
                <w:rFonts w:ascii="Arial" w:cs="Arial" w:eastAsia="Arial" w:hAnsi="Arial"/>
                <w:sz w:val="14"/>
                <w:szCs w:val="14"/>
                <w:color w:val="auto"/>
              </w:rPr>
              <w:t>2,375,741</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shd w:val="clear" w:color="auto" w:fill="E3ECF0"/>
          </w:tcPr>
          <w:p>
            <w:pPr>
              <w:spacing w:after="0"/>
              <w:rPr>
                <w:sz w:val="12"/>
                <w:szCs w:val="12"/>
                <w:color w:val="auto"/>
              </w:rPr>
            </w:pPr>
          </w:p>
        </w:tc>
        <w:tc>
          <w:tcPr>
            <w:tcW w:w="100" w:type="dxa"/>
            <w:vAlign w:val="bottom"/>
            <w:tcBorders>
              <w:left w:val="single" w:sz="8" w:color="47829E"/>
            </w:tcBorders>
            <w:shd w:val="clear" w:color="auto" w:fill="E3ECF0"/>
          </w:tcPr>
          <w:p>
            <w:pPr>
              <w:spacing w:after="0"/>
              <w:rPr>
                <w:sz w:val="12"/>
                <w:szCs w:val="12"/>
                <w:color w:val="auto"/>
              </w:rPr>
            </w:pPr>
          </w:p>
        </w:tc>
        <w:tc>
          <w:tcPr>
            <w:tcW w:w="4460" w:type="dxa"/>
            <w:vAlign w:val="bottom"/>
            <w:tcBorders>
              <w:right w:val="single" w:sz="8" w:color="47829E"/>
            </w:tcBorders>
            <w:shd w:val="clear" w:color="auto" w:fill="E3ECF0"/>
          </w:tcPr>
          <w:p>
            <w:pPr>
              <w:spacing w:after="0" w:line="149"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7"/>
                <w:szCs w:val="17"/>
                <w:color w:val="auto"/>
                <w:vertAlign w:val="superscript"/>
              </w:rPr>
              <w:t>4</w:t>
            </w:r>
          </w:p>
        </w:tc>
        <w:tc>
          <w:tcPr>
            <w:tcW w:w="100" w:type="dxa"/>
            <w:vAlign w:val="bottom"/>
            <w:shd w:val="clear" w:color="auto" w:fill="E3ECF0"/>
          </w:tcPr>
          <w:p>
            <w:pPr>
              <w:spacing w:after="0"/>
              <w:rPr>
                <w:sz w:val="12"/>
                <w:szCs w:val="12"/>
                <w:color w:val="auto"/>
              </w:rPr>
            </w:pPr>
          </w:p>
        </w:tc>
        <w:tc>
          <w:tcPr>
            <w:tcW w:w="1000" w:type="dxa"/>
            <w:vAlign w:val="bottom"/>
            <w:tcBorders>
              <w:right w:val="single" w:sz="8" w:color="47829E"/>
            </w:tcBorders>
            <w:shd w:val="clear" w:color="auto" w:fill="E3ECF0"/>
          </w:tcPr>
          <w:p>
            <w:pPr>
              <w:spacing w:after="0"/>
              <w:rPr>
                <w:sz w:val="12"/>
                <w:szCs w:val="12"/>
                <w:color w:val="auto"/>
              </w:rPr>
            </w:pPr>
          </w:p>
        </w:tc>
        <w:tc>
          <w:tcPr>
            <w:tcW w:w="1160" w:type="dxa"/>
            <w:vAlign w:val="bottom"/>
            <w:tcBorders>
              <w:right w:val="single" w:sz="8" w:color="47829E"/>
            </w:tcBorders>
            <w:shd w:val="clear" w:color="auto" w:fill="E3ECF0"/>
          </w:tcPr>
          <w:p>
            <w:pPr>
              <w:spacing w:after="0"/>
              <w:rPr>
                <w:sz w:val="12"/>
                <w:szCs w:val="12"/>
                <w:color w:val="auto"/>
              </w:rPr>
            </w:pPr>
          </w:p>
        </w:tc>
        <w:tc>
          <w:tcPr>
            <w:tcW w:w="88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146,606</w:t>
            </w:r>
          </w:p>
        </w:tc>
        <w:tc>
          <w:tcPr>
            <w:tcW w:w="90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146,606</w:t>
            </w:r>
          </w:p>
        </w:tc>
        <w:tc>
          <w:tcPr>
            <w:tcW w:w="1000" w:type="dxa"/>
            <w:vAlign w:val="bottom"/>
            <w:tcBorders>
              <w:right w:val="single" w:sz="8" w:color="47829E"/>
            </w:tcBorders>
            <w:shd w:val="clear" w:color="auto" w:fill="E3ECF0"/>
          </w:tcPr>
          <w:p>
            <w:pPr>
              <w:jc w:val="right"/>
              <w:ind w:right="132"/>
              <w:spacing w:after="0" w:line="149" w:lineRule="exact"/>
              <w:rPr>
                <w:sz w:val="20"/>
                <w:szCs w:val="20"/>
                <w:color w:val="auto"/>
              </w:rPr>
            </w:pPr>
            <w:r>
              <w:rPr>
                <w:rFonts w:ascii="Arial" w:cs="Arial" w:eastAsia="Arial" w:hAnsi="Arial"/>
                <w:sz w:val="14"/>
                <w:szCs w:val="14"/>
                <w:color w:val="auto"/>
              </w:rPr>
              <w:t>146,606</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shd w:val="clear" w:color="auto" w:fill="E3ECF0"/>
          </w:tcPr>
          <w:p>
            <w:pPr>
              <w:spacing w:after="0"/>
              <w:rPr>
                <w:sz w:val="12"/>
                <w:szCs w:val="12"/>
                <w:color w:val="auto"/>
              </w:rPr>
            </w:pPr>
          </w:p>
        </w:tc>
        <w:tc>
          <w:tcPr>
            <w:tcW w:w="100" w:type="dxa"/>
            <w:vAlign w:val="bottom"/>
            <w:tcBorders>
              <w:left w:val="single" w:sz="8" w:color="47829E"/>
            </w:tcBorders>
            <w:shd w:val="clear" w:color="auto" w:fill="E3ECF0"/>
          </w:tcPr>
          <w:p>
            <w:pPr>
              <w:spacing w:after="0"/>
              <w:rPr>
                <w:sz w:val="12"/>
                <w:szCs w:val="12"/>
                <w:color w:val="auto"/>
              </w:rPr>
            </w:pPr>
          </w:p>
        </w:tc>
        <w:tc>
          <w:tcPr>
            <w:tcW w:w="4460" w:type="dxa"/>
            <w:vAlign w:val="bottom"/>
            <w:tcBorders>
              <w:right w:val="single" w:sz="8" w:color="47829E"/>
            </w:tcBorders>
            <w:shd w:val="clear" w:color="auto" w:fill="E3ECF0"/>
          </w:tcPr>
          <w:p>
            <w:pPr>
              <w:spacing w:after="0" w:line="149"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7"/>
                <w:szCs w:val="17"/>
                <w:color w:val="auto"/>
                <w:vertAlign w:val="superscript"/>
              </w:rPr>
              <w:t>5</w:t>
            </w:r>
          </w:p>
        </w:tc>
        <w:tc>
          <w:tcPr>
            <w:tcW w:w="100" w:type="dxa"/>
            <w:vAlign w:val="bottom"/>
            <w:shd w:val="clear" w:color="auto" w:fill="E3ECF0"/>
          </w:tcPr>
          <w:p>
            <w:pPr>
              <w:spacing w:after="0"/>
              <w:rPr>
                <w:sz w:val="12"/>
                <w:szCs w:val="12"/>
                <w:color w:val="auto"/>
              </w:rPr>
            </w:pPr>
          </w:p>
        </w:tc>
        <w:tc>
          <w:tcPr>
            <w:tcW w:w="1000" w:type="dxa"/>
            <w:vAlign w:val="bottom"/>
            <w:tcBorders>
              <w:right w:val="single" w:sz="8" w:color="47829E"/>
            </w:tcBorders>
            <w:shd w:val="clear" w:color="auto" w:fill="E3ECF0"/>
          </w:tcPr>
          <w:p>
            <w:pPr>
              <w:jc w:val="right"/>
              <w:ind w:right="72"/>
              <w:spacing w:after="0" w:line="149" w:lineRule="exact"/>
              <w:rPr>
                <w:sz w:val="20"/>
                <w:szCs w:val="20"/>
                <w:color w:val="auto"/>
              </w:rPr>
            </w:pPr>
            <w:r>
              <w:rPr>
                <w:rFonts w:ascii="Arial" w:cs="Arial" w:eastAsia="Arial" w:hAnsi="Arial"/>
                <w:sz w:val="14"/>
                <w:szCs w:val="14"/>
                <w:color w:val="auto"/>
              </w:rPr>
              <w:t>44,372</w:t>
            </w:r>
          </w:p>
        </w:tc>
        <w:tc>
          <w:tcPr>
            <w:tcW w:w="1160" w:type="dxa"/>
            <w:vAlign w:val="bottom"/>
            <w:tcBorders>
              <w:right w:val="single" w:sz="8" w:color="47829E"/>
            </w:tcBorders>
            <w:shd w:val="clear" w:color="auto" w:fill="E3ECF0"/>
          </w:tcPr>
          <w:p>
            <w:pPr>
              <w:jc w:val="right"/>
              <w:ind w:right="72"/>
              <w:spacing w:after="0" w:line="149" w:lineRule="exact"/>
              <w:rPr>
                <w:sz w:val="20"/>
                <w:szCs w:val="20"/>
                <w:color w:val="auto"/>
              </w:rPr>
            </w:pPr>
            <w:r>
              <w:rPr>
                <w:rFonts w:ascii="Arial" w:cs="Arial" w:eastAsia="Arial" w:hAnsi="Arial"/>
                <w:sz w:val="14"/>
                <w:szCs w:val="14"/>
                <w:color w:val="auto"/>
              </w:rPr>
              <w:t>22,374</w:t>
            </w:r>
          </w:p>
        </w:tc>
        <w:tc>
          <w:tcPr>
            <w:tcW w:w="88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44,372</w:t>
            </w:r>
          </w:p>
        </w:tc>
        <w:tc>
          <w:tcPr>
            <w:tcW w:w="90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44,372</w:t>
            </w:r>
          </w:p>
        </w:tc>
        <w:tc>
          <w:tcPr>
            <w:tcW w:w="1000" w:type="dxa"/>
            <w:vAlign w:val="bottom"/>
            <w:tcBorders>
              <w:right w:val="single" w:sz="8" w:color="47829E"/>
            </w:tcBorders>
            <w:shd w:val="clear" w:color="auto" w:fill="E3ECF0"/>
          </w:tcPr>
          <w:p>
            <w:pPr>
              <w:jc w:val="right"/>
              <w:ind w:right="132"/>
              <w:spacing w:after="0" w:line="149" w:lineRule="exact"/>
              <w:rPr>
                <w:sz w:val="20"/>
                <w:szCs w:val="20"/>
                <w:color w:val="auto"/>
              </w:rPr>
            </w:pPr>
            <w:r>
              <w:rPr>
                <w:rFonts w:ascii="Arial" w:cs="Arial" w:eastAsia="Arial" w:hAnsi="Arial"/>
                <w:sz w:val="14"/>
                <w:szCs w:val="14"/>
                <w:color w:val="auto"/>
              </w:rPr>
              <w:t>44,372</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shd w:val="clear" w:color="auto" w:fill="E3ECF0"/>
          </w:tcPr>
          <w:p>
            <w:pPr>
              <w:ind w:left="100"/>
              <w:spacing w:after="0" w:line="149" w:lineRule="exact"/>
              <w:rPr>
                <w:sz w:val="20"/>
                <w:szCs w:val="20"/>
                <w:color w:val="auto"/>
              </w:rPr>
            </w:pPr>
            <w:r>
              <w:rPr>
                <w:rFonts w:ascii="Arial" w:cs="Arial" w:eastAsia="Arial" w:hAnsi="Arial"/>
                <w:sz w:val="14"/>
                <w:szCs w:val="14"/>
                <w:b w:val="1"/>
                <w:bCs w:val="1"/>
                <w:color w:val="auto"/>
              </w:rPr>
              <w:t>Anne H. Lloyd</w:t>
            </w:r>
          </w:p>
        </w:tc>
        <w:tc>
          <w:tcPr>
            <w:tcW w:w="100" w:type="dxa"/>
            <w:vAlign w:val="bottom"/>
            <w:tcBorders>
              <w:left w:val="single" w:sz="8" w:color="47829E"/>
            </w:tcBorders>
            <w:shd w:val="clear" w:color="auto" w:fill="E3ECF0"/>
          </w:tcPr>
          <w:p>
            <w:pPr>
              <w:spacing w:after="0"/>
              <w:rPr>
                <w:sz w:val="12"/>
                <w:szCs w:val="12"/>
                <w:color w:val="auto"/>
              </w:rPr>
            </w:pPr>
          </w:p>
        </w:tc>
        <w:tc>
          <w:tcPr>
            <w:tcW w:w="4460" w:type="dxa"/>
            <w:vAlign w:val="bottom"/>
            <w:tcBorders>
              <w:right w:val="single" w:sz="8" w:color="47829E"/>
            </w:tcBorders>
            <w:shd w:val="clear" w:color="auto" w:fill="E3ECF0"/>
          </w:tcPr>
          <w:p>
            <w:pPr>
              <w:spacing w:after="0" w:line="149" w:lineRule="exact"/>
              <w:rPr>
                <w:sz w:val="20"/>
                <w:szCs w:val="20"/>
                <w:color w:val="auto"/>
              </w:rPr>
            </w:pPr>
            <w:r>
              <w:rPr>
                <w:rFonts w:ascii="Arial" w:cs="Arial" w:eastAsia="Arial" w:hAnsi="Arial"/>
                <w:sz w:val="11"/>
                <w:szCs w:val="11"/>
                <w:color w:val="auto"/>
              </w:rPr>
              <w:t>Performance Shares</w:t>
            </w:r>
            <w:r>
              <w:rPr>
                <w:rFonts w:ascii="Arial" w:cs="Arial" w:eastAsia="Arial" w:hAnsi="Arial"/>
                <w:sz w:val="17"/>
                <w:szCs w:val="17"/>
                <w:color w:val="auto"/>
                <w:vertAlign w:val="superscript"/>
              </w:rPr>
              <w:t>6</w:t>
            </w:r>
          </w:p>
        </w:tc>
        <w:tc>
          <w:tcPr>
            <w:tcW w:w="100" w:type="dxa"/>
            <w:vAlign w:val="bottom"/>
            <w:shd w:val="clear" w:color="auto" w:fill="E3ECF0"/>
          </w:tcPr>
          <w:p>
            <w:pPr>
              <w:spacing w:after="0"/>
              <w:rPr>
                <w:sz w:val="12"/>
                <w:szCs w:val="12"/>
                <w:color w:val="auto"/>
              </w:rPr>
            </w:pPr>
          </w:p>
        </w:tc>
        <w:tc>
          <w:tcPr>
            <w:tcW w:w="1000" w:type="dxa"/>
            <w:vAlign w:val="bottom"/>
            <w:tcBorders>
              <w:right w:val="single" w:sz="8" w:color="47829E"/>
            </w:tcBorders>
            <w:shd w:val="clear" w:color="auto" w:fill="E3ECF0"/>
          </w:tcPr>
          <w:p>
            <w:pPr>
              <w:jc w:val="right"/>
              <w:ind w:right="72"/>
              <w:spacing w:after="0" w:line="149" w:lineRule="exact"/>
              <w:rPr>
                <w:sz w:val="20"/>
                <w:szCs w:val="20"/>
                <w:color w:val="auto"/>
              </w:rPr>
            </w:pPr>
            <w:r>
              <w:rPr>
                <w:rFonts w:ascii="Arial" w:cs="Arial" w:eastAsia="Arial" w:hAnsi="Arial"/>
                <w:sz w:val="14"/>
                <w:szCs w:val="14"/>
                <w:color w:val="auto"/>
              </w:rPr>
              <w:t>174,747</w:t>
            </w:r>
          </w:p>
        </w:tc>
        <w:tc>
          <w:tcPr>
            <w:tcW w:w="1160" w:type="dxa"/>
            <w:vAlign w:val="bottom"/>
            <w:tcBorders>
              <w:right w:val="single" w:sz="8" w:color="47829E"/>
            </w:tcBorders>
            <w:shd w:val="clear" w:color="auto" w:fill="E3ECF0"/>
          </w:tcPr>
          <w:p>
            <w:pPr>
              <w:spacing w:after="0"/>
              <w:rPr>
                <w:sz w:val="12"/>
                <w:szCs w:val="12"/>
                <w:color w:val="auto"/>
              </w:rPr>
            </w:pPr>
          </w:p>
        </w:tc>
        <w:tc>
          <w:tcPr>
            <w:tcW w:w="88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174,747</w:t>
            </w:r>
          </w:p>
        </w:tc>
        <w:tc>
          <w:tcPr>
            <w:tcW w:w="90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174,747</w:t>
            </w:r>
          </w:p>
        </w:tc>
        <w:tc>
          <w:tcPr>
            <w:tcW w:w="1000" w:type="dxa"/>
            <w:vAlign w:val="bottom"/>
            <w:tcBorders>
              <w:right w:val="single" w:sz="8" w:color="47829E"/>
            </w:tcBorders>
            <w:shd w:val="clear" w:color="auto" w:fill="E3ECF0"/>
          </w:tcPr>
          <w:p>
            <w:pPr>
              <w:jc w:val="right"/>
              <w:ind w:right="132"/>
              <w:spacing w:after="0" w:line="149" w:lineRule="exact"/>
              <w:rPr>
                <w:sz w:val="20"/>
                <w:szCs w:val="20"/>
                <w:color w:val="auto"/>
              </w:rPr>
            </w:pPr>
            <w:r>
              <w:rPr>
                <w:rFonts w:ascii="Arial" w:cs="Arial" w:eastAsia="Arial" w:hAnsi="Arial"/>
                <w:sz w:val="14"/>
                <w:szCs w:val="14"/>
                <w:color w:val="auto"/>
              </w:rPr>
              <w:t>174,747</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shd w:val="clear" w:color="auto" w:fill="E3ECF0"/>
          </w:tcPr>
          <w:p>
            <w:pPr>
              <w:spacing w:after="0"/>
              <w:rPr>
                <w:sz w:val="12"/>
                <w:szCs w:val="12"/>
                <w:color w:val="auto"/>
              </w:rPr>
            </w:pPr>
          </w:p>
        </w:tc>
        <w:tc>
          <w:tcPr>
            <w:tcW w:w="100" w:type="dxa"/>
            <w:vAlign w:val="bottom"/>
            <w:tcBorders>
              <w:left w:val="single" w:sz="8" w:color="47829E"/>
            </w:tcBorders>
            <w:shd w:val="clear" w:color="auto" w:fill="E3ECF0"/>
          </w:tcPr>
          <w:p>
            <w:pPr>
              <w:spacing w:after="0"/>
              <w:rPr>
                <w:sz w:val="12"/>
                <w:szCs w:val="12"/>
                <w:color w:val="auto"/>
              </w:rPr>
            </w:pPr>
          </w:p>
        </w:tc>
        <w:tc>
          <w:tcPr>
            <w:tcW w:w="4460" w:type="dxa"/>
            <w:vAlign w:val="bottom"/>
            <w:tcBorders>
              <w:right w:val="single" w:sz="8" w:color="47829E"/>
            </w:tcBorders>
            <w:shd w:val="clear" w:color="auto" w:fill="E3ECF0"/>
          </w:tcPr>
          <w:p>
            <w:pPr>
              <w:spacing w:after="0" w:line="149" w:lineRule="exact"/>
              <w:rPr>
                <w:sz w:val="20"/>
                <w:szCs w:val="20"/>
                <w:color w:val="auto"/>
              </w:rPr>
            </w:pPr>
            <w:r>
              <w:rPr>
                <w:rFonts w:ascii="Arial" w:cs="Arial" w:eastAsia="Arial" w:hAnsi="Arial"/>
                <w:sz w:val="11"/>
                <w:szCs w:val="11"/>
                <w:color w:val="auto"/>
              </w:rPr>
              <w:t>Retirement Plans</w:t>
            </w:r>
            <w:r>
              <w:rPr>
                <w:rFonts w:ascii="Arial" w:cs="Arial" w:eastAsia="Arial" w:hAnsi="Arial"/>
                <w:sz w:val="17"/>
                <w:szCs w:val="17"/>
                <w:color w:val="auto"/>
                <w:vertAlign w:val="superscript"/>
              </w:rPr>
              <w:t>7</w:t>
            </w:r>
          </w:p>
        </w:tc>
        <w:tc>
          <w:tcPr>
            <w:tcW w:w="100" w:type="dxa"/>
            <w:vAlign w:val="bottom"/>
            <w:shd w:val="clear" w:color="auto" w:fill="E3ECF0"/>
          </w:tcPr>
          <w:p>
            <w:pPr>
              <w:spacing w:after="0"/>
              <w:rPr>
                <w:sz w:val="12"/>
                <w:szCs w:val="12"/>
                <w:color w:val="auto"/>
              </w:rPr>
            </w:pPr>
          </w:p>
        </w:tc>
        <w:tc>
          <w:tcPr>
            <w:tcW w:w="1000" w:type="dxa"/>
            <w:vAlign w:val="bottom"/>
            <w:tcBorders>
              <w:right w:val="single" w:sz="8" w:color="47829E"/>
            </w:tcBorders>
            <w:shd w:val="clear" w:color="auto" w:fill="E3ECF0"/>
          </w:tcPr>
          <w:p>
            <w:pPr>
              <w:spacing w:after="0"/>
              <w:rPr>
                <w:sz w:val="12"/>
                <w:szCs w:val="12"/>
                <w:color w:val="auto"/>
              </w:rPr>
            </w:pPr>
          </w:p>
        </w:tc>
        <w:tc>
          <w:tcPr>
            <w:tcW w:w="1160" w:type="dxa"/>
            <w:vAlign w:val="bottom"/>
            <w:tcBorders>
              <w:right w:val="single" w:sz="8" w:color="47829E"/>
            </w:tcBorders>
            <w:shd w:val="clear" w:color="auto" w:fill="E3ECF0"/>
          </w:tcPr>
          <w:p>
            <w:pPr>
              <w:spacing w:after="0"/>
              <w:rPr>
                <w:sz w:val="12"/>
                <w:szCs w:val="12"/>
                <w:color w:val="auto"/>
              </w:rPr>
            </w:pPr>
          </w:p>
        </w:tc>
        <w:tc>
          <w:tcPr>
            <w:tcW w:w="88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551,714</w:t>
            </w:r>
          </w:p>
        </w:tc>
        <w:tc>
          <w:tcPr>
            <w:tcW w:w="90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28,694</w:t>
            </w:r>
          </w:p>
        </w:tc>
        <w:tc>
          <w:tcPr>
            <w:tcW w:w="1000" w:type="dxa"/>
            <w:vAlign w:val="bottom"/>
            <w:tcBorders>
              <w:right w:val="single" w:sz="8" w:color="47829E"/>
            </w:tcBorders>
            <w:shd w:val="clear" w:color="auto" w:fill="E3ECF0"/>
          </w:tcPr>
          <w:p>
            <w:pPr>
              <w:jc w:val="right"/>
              <w:ind w:right="132"/>
              <w:spacing w:after="0" w:line="149" w:lineRule="exact"/>
              <w:rPr>
                <w:sz w:val="20"/>
                <w:szCs w:val="20"/>
                <w:color w:val="auto"/>
              </w:rPr>
            </w:pPr>
            <w:r>
              <w:rPr>
                <w:rFonts w:ascii="Arial" w:cs="Arial" w:eastAsia="Arial" w:hAnsi="Arial"/>
                <w:sz w:val="14"/>
                <w:szCs w:val="14"/>
                <w:color w:val="auto"/>
              </w:rPr>
              <w:t>3,609,298</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shd w:val="clear" w:color="auto" w:fill="E3ECF0"/>
          </w:tcPr>
          <w:p>
            <w:pPr>
              <w:spacing w:after="0"/>
              <w:rPr>
                <w:sz w:val="12"/>
                <w:szCs w:val="12"/>
                <w:color w:val="auto"/>
              </w:rPr>
            </w:pPr>
          </w:p>
        </w:tc>
        <w:tc>
          <w:tcPr>
            <w:tcW w:w="100" w:type="dxa"/>
            <w:vAlign w:val="bottom"/>
            <w:tcBorders>
              <w:left w:val="single" w:sz="8" w:color="47829E"/>
            </w:tcBorders>
            <w:shd w:val="clear" w:color="auto" w:fill="E3ECF0"/>
          </w:tcPr>
          <w:p>
            <w:pPr>
              <w:spacing w:after="0"/>
              <w:rPr>
                <w:sz w:val="12"/>
                <w:szCs w:val="12"/>
                <w:color w:val="auto"/>
              </w:rPr>
            </w:pPr>
          </w:p>
        </w:tc>
        <w:tc>
          <w:tcPr>
            <w:tcW w:w="4460" w:type="dxa"/>
            <w:vAlign w:val="bottom"/>
            <w:tcBorders>
              <w:right w:val="single" w:sz="8" w:color="47829E"/>
            </w:tcBorders>
            <w:shd w:val="clear" w:color="auto" w:fill="E3ECF0"/>
          </w:tcPr>
          <w:p>
            <w:pPr>
              <w:spacing w:after="0" w:line="149"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7"/>
                <w:szCs w:val="17"/>
                <w:color w:val="auto"/>
                <w:vertAlign w:val="superscript"/>
              </w:rPr>
              <w:t>8</w:t>
            </w:r>
          </w:p>
        </w:tc>
        <w:tc>
          <w:tcPr>
            <w:tcW w:w="100" w:type="dxa"/>
            <w:vAlign w:val="bottom"/>
            <w:shd w:val="clear" w:color="auto" w:fill="E3ECF0"/>
          </w:tcPr>
          <w:p>
            <w:pPr>
              <w:spacing w:after="0"/>
              <w:rPr>
                <w:sz w:val="12"/>
                <w:szCs w:val="12"/>
                <w:color w:val="auto"/>
              </w:rPr>
            </w:pPr>
          </w:p>
        </w:tc>
        <w:tc>
          <w:tcPr>
            <w:tcW w:w="1000" w:type="dxa"/>
            <w:vAlign w:val="bottom"/>
            <w:tcBorders>
              <w:right w:val="single" w:sz="8" w:color="47829E"/>
            </w:tcBorders>
            <w:shd w:val="clear" w:color="auto" w:fill="E3ECF0"/>
          </w:tcPr>
          <w:p>
            <w:pPr>
              <w:spacing w:after="0"/>
              <w:rPr>
                <w:sz w:val="12"/>
                <w:szCs w:val="12"/>
                <w:color w:val="auto"/>
              </w:rPr>
            </w:pPr>
          </w:p>
        </w:tc>
        <w:tc>
          <w:tcPr>
            <w:tcW w:w="1160" w:type="dxa"/>
            <w:vAlign w:val="bottom"/>
            <w:tcBorders>
              <w:right w:val="single" w:sz="8" w:color="47829E"/>
            </w:tcBorders>
            <w:shd w:val="clear" w:color="auto" w:fill="E3ECF0"/>
          </w:tcPr>
          <w:p>
            <w:pPr>
              <w:spacing w:after="0"/>
              <w:rPr>
                <w:sz w:val="12"/>
                <w:szCs w:val="12"/>
                <w:color w:val="auto"/>
              </w:rPr>
            </w:pPr>
          </w:p>
        </w:tc>
        <w:tc>
          <w:tcPr>
            <w:tcW w:w="880" w:type="dxa"/>
            <w:vAlign w:val="bottom"/>
            <w:tcBorders>
              <w:right w:val="single" w:sz="8" w:color="47829E"/>
            </w:tcBorders>
            <w:shd w:val="clear" w:color="auto" w:fill="E3ECF0"/>
          </w:tcPr>
          <w:p>
            <w:pPr>
              <w:spacing w:after="0"/>
              <w:rPr>
                <w:sz w:val="12"/>
                <w:szCs w:val="12"/>
                <w:color w:val="auto"/>
              </w:rPr>
            </w:pPr>
          </w:p>
        </w:tc>
        <w:tc>
          <w:tcPr>
            <w:tcW w:w="900" w:type="dxa"/>
            <w:vAlign w:val="bottom"/>
            <w:tcBorders>
              <w:right w:val="single" w:sz="8" w:color="47829E"/>
            </w:tcBorders>
            <w:shd w:val="clear" w:color="auto" w:fill="E3ECF0"/>
          </w:tcPr>
          <w:p>
            <w:pPr>
              <w:spacing w:after="0"/>
              <w:rPr>
                <w:sz w:val="12"/>
                <w:szCs w:val="12"/>
                <w:color w:val="auto"/>
              </w:rPr>
            </w:pPr>
          </w:p>
        </w:tc>
        <w:tc>
          <w:tcPr>
            <w:tcW w:w="1000" w:type="dxa"/>
            <w:vAlign w:val="bottom"/>
            <w:tcBorders>
              <w:right w:val="single" w:sz="8" w:color="47829E"/>
            </w:tcBorders>
            <w:shd w:val="clear" w:color="auto" w:fill="E3ECF0"/>
          </w:tcPr>
          <w:p>
            <w:pPr>
              <w:jc w:val="right"/>
              <w:ind w:right="132"/>
              <w:spacing w:after="0" w:line="149" w:lineRule="exact"/>
              <w:rPr>
                <w:sz w:val="20"/>
                <w:szCs w:val="20"/>
                <w:color w:val="auto"/>
              </w:rPr>
            </w:pPr>
            <w:r>
              <w:rPr>
                <w:rFonts w:ascii="Arial" w:cs="Arial" w:eastAsia="Arial" w:hAnsi="Arial"/>
                <w:sz w:val="14"/>
                <w:szCs w:val="14"/>
                <w:color w:val="auto"/>
              </w:rPr>
              <w:t>8,965</w:t>
            </w:r>
          </w:p>
        </w:tc>
        <w:tc>
          <w:tcPr>
            <w:tcW w:w="0" w:type="dxa"/>
            <w:vAlign w:val="bottom"/>
          </w:tcPr>
          <w:p>
            <w:pPr>
              <w:spacing w:after="0"/>
              <w:rPr>
                <w:sz w:val="1"/>
                <w:szCs w:val="1"/>
                <w:color w:val="auto"/>
              </w:rPr>
            </w:pPr>
          </w:p>
        </w:tc>
      </w:tr>
      <w:tr>
        <w:trPr>
          <w:trHeight w:val="175"/>
        </w:trPr>
        <w:tc>
          <w:tcPr>
            <w:tcW w:w="20" w:type="dxa"/>
            <w:vAlign w:val="bottom"/>
            <w:shd w:val="clear" w:color="auto" w:fill="47829E"/>
          </w:tcPr>
          <w:p>
            <w:pPr>
              <w:spacing w:after="0"/>
              <w:rPr>
                <w:sz w:val="15"/>
                <w:szCs w:val="15"/>
                <w:color w:val="auto"/>
              </w:rPr>
            </w:pPr>
          </w:p>
        </w:tc>
        <w:tc>
          <w:tcPr>
            <w:tcW w:w="1820" w:type="dxa"/>
            <w:vAlign w:val="bottom"/>
            <w:shd w:val="clear" w:color="auto" w:fill="E3ECF0"/>
          </w:tcPr>
          <w:p>
            <w:pPr>
              <w:spacing w:after="0"/>
              <w:rPr>
                <w:sz w:val="15"/>
                <w:szCs w:val="15"/>
                <w:color w:val="auto"/>
              </w:rPr>
            </w:pPr>
          </w:p>
        </w:tc>
        <w:tc>
          <w:tcPr>
            <w:tcW w:w="100" w:type="dxa"/>
            <w:vAlign w:val="bottom"/>
            <w:tcBorders>
              <w:left w:val="single" w:sz="8" w:color="47829E"/>
            </w:tcBorders>
            <w:shd w:val="clear" w:color="auto" w:fill="E3ECF0"/>
          </w:tcPr>
          <w:p>
            <w:pPr>
              <w:spacing w:after="0"/>
              <w:rPr>
                <w:sz w:val="15"/>
                <w:szCs w:val="15"/>
                <w:color w:val="auto"/>
              </w:rPr>
            </w:pPr>
          </w:p>
        </w:tc>
        <w:tc>
          <w:tcPr>
            <w:tcW w:w="4460" w:type="dxa"/>
            <w:vAlign w:val="bottom"/>
            <w:tcBorders>
              <w:right w:val="single" w:sz="8" w:color="47829E"/>
            </w:tcBorders>
            <w:shd w:val="clear" w:color="auto" w:fill="E3ECF0"/>
          </w:tcPr>
          <w:p>
            <w:pPr>
              <w:spacing w:after="0" w:line="175" w:lineRule="exact"/>
              <w:rPr>
                <w:sz w:val="20"/>
                <w:szCs w:val="20"/>
                <w:color w:val="auto"/>
              </w:rPr>
            </w:pPr>
            <w:r>
              <w:rPr>
                <w:rFonts w:ascii="Arial" w:cs="Arial" w:eastAsia="Arial" w:hAnsi="Arial"/>
                <w:sz w:val="13"/>
                <w:szCs w:val="13"/>
                <w:color w:val="auto"/>
              </w:rPr>
              <w:t>Retiree Medical Benefits</w:t>
            </w:r>
            <w:r>
              <w:rPr>
                <w:rFonts w:ascii="Arial" w:cs="Arial" w:eastAsia="Arial" w:hAnsi="Arial"/>
                <w:sz w:val="20"/>
                <w:szCs w:val="20"/>
                <w:color w:val="auto"/>
                <w:vertAlign w:val="superscript"/>
              </w:rPr>
              <w:t>9</w:t>
            </w:r>
          </w:p>
        </w:tc>
        <w:tc>
          <w:tcPr>
            <w:tcW w:w="100" w:type="dxa"/>
            <w:vAlign w:val="bottom"/>
            <w:shd w:val="clear" w:color="auto" w:fill="E3ECF0"/>
          </w:tcPr>
          <w:p>
            <w:pPr>
              <w:spacing w:after="0"/>
              <w:rPr>
                <w:sz w:val="15"/>
                <w:szCs w:val="15"/>
                <w:color w:val="auto"/>
              </w:rPr>
            </w:pPr>
          </w:p>
        </w:tc>
        <w:tc>
          <w:tcPr>
            <w:tcW w:w="1000" w:type="dxa"/>
            <w:vAlign w:val="bottom"/>
            <w:tcBorders>
              <w:right w:val="single" w:sz="8" w:color="47829E"/>
            </w:tcBorders>
            <w:shd w:val="clear" w:color="auto" w:fill="E3ECF0"/>
          </w:tcPr>
          <w:p>
            <w:pPr>
              <w:spacing w:after="0"/>
              <w:rPr>
                <w:sz w:val="15"/>
                <w:szCs w:val="15"/>
                <w:color w:val="auto"/>
              </w:rPr>
            </w:pPr>
          </w:p>
        </w:tc>
        <w:tc>
          <w:tcPr>
            <w:tcW w:w="1160" w:type="dxa"/>
            <w:vAlign w:val="bottom"/>
            <w:tcBorders>
              <w:right w:val="single" w:sz="8" w:color="47829E"/>
            </w:tcBorders>
            <w:shd w:val="clear" w:color="auto" w:fill="E3ECF0"/>
          </w:tcPr>
          <w:p>
            <w:pPr>
              <w:spacing w:after="0"/>
              <w:rPr>
                <w:sz w:val="15"/>
                <w:szCs w:val="15"/>
                <w:color w:val="auto"/>
              </w:rPr>
            </w:pPr>
          </w:p>
        </w:tc>
        <w:tc>
          <w:tcPr>
            <w:tcW w:w="880" w:type="dxa"/>
            <w:vAlign w:val="bottom"/>
            <w:tcBorders>
              <w:right w:val="single" w:sz="8" w:color="47829E"/>
            </w:tcBorders>
            <w:shd w:val="clear" w:color="auto" w:fill="E3ECF0"/>
          </w:tcPr>
          <w:p>
            <w:pPr>
              <w:spacing w:after="0"/>
              <w:rPr>
                <w:sz w:val="15"/>
                <w:szCs w:val="15"/>
                <w:color w:val="auto"/>
              </w:rPr>
            </w:pPr>
          </w:p>
        </w:tc>
        <w:tc>
          <w:tcPr>
            <w:tcW w:w="900" w:type="dxa"/>
            <w:vAlign w:val="bottom"/>
            <w:tcBorders>
              <w:right w:val="single" w:sz="8" w:color="47829E"/>
            </w:tcBorders>
            <w:shd w:val="clear" w:color="auto" w:fill="E3ECF0"/>
          </w:tcPr>
          <w:p>
            <w:pPr>
              <w:spacing w:after="0"/>
              <w:rPr>
                <w:sz w:val="15"/>
                <w:szCs w:val="15"/>
                <w:color w:val="auto"/>
              </w:rPr>
            </w:pPr>
          </w:p>
        </w:tc>
        <w:tc>
          <w:tcPr>
            <w:tcW w:w="1000" w:type="dxa"/>
            <w:vAlign w:val="bottom"/>
            <w:tcBorders>
              <w:right w:val="single" w:sz="8" w:color="47829E"/>
            </w:tcBorders>
            <w:shd w:val="clear" w:color="auto" w:fill="E3ECF0"/>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shd w:val="clear" w:color="auto" w:fill="E3ECF0"/>
          </w:tcPr>
          <w:p>
            <w:pPr>
              <w:spacing w:after="0"/>
              <w:rPr>
                <w:sz w:val="12"/>
                <w:szCs w:val="12"/>
                <w:color w:val="auto"/>
              </w:rPr>
            </w:pPr>
          </w:p>
        </w:tc>
        <w:tc>
          <w:tcPr>
            <w:tcW w:w="100" w:type="dxa"/>
            <w:vAlign w:val="bottom"/>
            <w:tcBorders>
              <w:left w:val="single" w:sz="8" w:color="47829E"/>
            </w:tcBorders>
            <w:shd w:val="clear" w:color="auto" w:fill="E3ECF0"/>
          </w:tcPr>
          <w:p>
            <w:pPr>
              <w:spacing w:after="0"/>
              <w:rPr>
                <w:sz w:val="12"/>
                <w:szCs w:val="12"/>
                <w:color w:val="auto"/>
              </w:rPr>
            </w:pPr>
          </w:p>
        </w:tc>
        <w:tc>
          <w:tcPr>
            <w:tcW w:w="4460" w:type="dxa"/>
            <w:vAlign w:val="bottom"/>
            <w:tcBorders>
              <w:right w:val="single" w:sz="8" w:color="47829E"/>
            </w:tcBorders>
            <w:shd w:val="clear" w:color="auto" w:fill="E3ECF0"/>
          </w:tcPr>
          <w:p>
            <w:pPr>
              <w:spacing w:after="0" w:line="149" w:lineRule="exact"/>
              <w:rPr>
                <w:sz w:val="20"/>
                <w:szCs w:val="20"/>
                <w:color w:val="auto"/>
              </w:rPr>
            </w:pPr>
            <w:r>
              <w:rPr>
                <w:rFonts w:ascii="Arial" w:cs="Arial" w:eastAsia="Arial" w:hAnsi="Arial"/>
                <w:sz w:val="14"/>
                <w:szCs w:val="14"/>
                <w:color w:val="auto"/>
              </w:rPr>
              <w:t>Excise Tax &amp; Gross-up</w:t>
            </w:r>
          </w:p>
        </w:tc>
        <w:tc>
          <w:tcPr>
            <w:tcW w:w="100" w:type="dxa"/>
            <w:vAlign w:val="bottom"/>
            <w:shd w:val="clear" w:color="auto" w:fill="E3ECF0"/>
          </w:tcPr>
          <w:p>
            <w:pPr>
              <w:spacing w:after="0"/>
              <w:rPr>
                <w:sz w:val="12"/>
                <w:szCs w:val="12"/>
                <w:color w:val="auto"/>
              </w:rPr>
            </w:pPr>
          </w:p>
        </w:tc>
        <w:tc>
          <w:tcPr>
            <w:tcW w:w="1000" w:type="dxa"/>
            <w:vAlign w:val="bottom"/>
            <w:tcBorders>
              <w:right w:val="single" w:sz="8" w:color="47829E"/>
            </w:tcBorders>
            <w:shd w:val="clear" w:color="auto" w:fill="E3ECF0"/>
          </w:tcPr>
          <w:p>
            <w:pPr>
              <w:spacing w:after="0"/>
              <w:rPr>
                <w:sz w:val="12"/>
                <w:szCs w:val="12"/>
                <w:color w:val="auto"/>
              </w:rPr>
            </w:pPr>
          </w:p>
        </w:tc>
        <w:tc>
          <w:tcPr>
            <w:tcW w:w="1160" w:type="dxa"/>
            <w:vAlign w:val="bottom"/>
            <w:tcBorders>
              <w:right w:val="single" w:sz="8" w:color="47829E"/>
            </w:tcBorders>
            <w:shd w:val="clear" w:color="auto" w:fill="E3ECF0"/>
          </w:tcPr>
          <w:p>
            <w:pPr>
              <w:spacing w:after="0"/>
              <w:rPr>
                <w:sz w:val="12"/>
                <w:szCs w:val="12"/>
                <w:color w:val="auto"/>
              </w:rPr>
            </w:pPr>
          </w:p>
        </w:tc>
        <w:tc>
          <w:tcPr>
            <w:tcW w:w="880" w:type="dxa"/>
            <w:vAlign w:val="bottom"/>
            <w:tcBorders>
              <w:right w:val="single" w:sz="8" w:color="47829E"/>
            </w:tcBorders>
            <w:shd w:val="clear" w:color="auto" w:fill="E3ECF0"/>
          </w:tcPr>
          <w:p>
            <w:pPr>
              <w:spacing w:after="0"/>
              <w:rPr>
                <w:sz w:val="12"/>
                <w:szCs w:val="12"/>
                <w:color w:val="auto"/>
              </w:rPr>
            </w:pPr>
          </w:p>
        </w:tc>
        <w:tc>
          <w:tcPr>
            <w:tcW w:w="900" w:type="dxa"/>
            <w:vAlign w:val="bottom"/>
            <w:tcBorders>
              <w:right w:val="single" w:sz="8" w:color="47829E"/>
            </w:tcBorders>
            <w:shd w:val="clear" w:color="auto" w:fill="E3ECF0"/>
          </w:tcPr>
          <w:p>
            <w:pPr>
              <w:spacing w:after="0"/>
              <w:rPr>
                <w:sz w:val="12"/>
                <w:szCs w:val="12"/>
                <w:color w:val="auto"/>
              </w:rPr>
            </w:pPr>
          </w:p>
        </w:tc>
        <w:tc>
          <w:tcPr>
            <w:tcW w:w="1000" w:type="dxa"/>
            <w:vAlign w:val="bottom"/>
            <w:tcBorders>
              <w:right w:val="single" w:sz="8" w:color="47829E"/>
            </w:tcBorders>
            <w:shd w:val="clear" w:color="auto" w:fill="E3ECF0"/>
          </w:tcPr>
          <w:p>
            <w:pPr>
              <w:jc w:val="right"/>
              <w:ind w:right="132"/>
              <w:spacing w:after="0" w:line="149" w:lineRule="exact"/>
              <w:rPr>
                <w:sz w:val="20"/>
                <w:szCs w:val="20"/>
                <w:color w:val="auto"/>
              </w:rPr>
            </w:pPr>
            <w:r>
              <w:rPr>
                <w:rFonts w:ascii="Arial" w:cs="Arial" w:eastAsia="Arial" w:hAnsi="Arial"/>
                <w:sz w:val="14"/>
                <w:szCs w:val="14"/>
                <w:color w:val="auto"/>
              </w:rPr>
              <w:t>3,777,888</w:t>
            </w:r>
          </w:p>
        </w:tc>
        <w:tc>
          <w:tcPr>
            <w:tcW w:w="0" w:type="dxa"/>
            <w:vAlign w:val="bottom"/>
          </w:tcPr>
          <w:p>
            <w:pPr>
              <w:spacing w:after="0"/>
              <w:rPr>
                <w:sz w:val="1"/>
                <w:szCs w:val="1"/>
                <w:color w:val="auto"/>
              </w:rPr>
            </w:pPr>
          </w:p>
        </w:tc>
      </w:tr>
      <w:tr>
        <w:trPr>
          <w:trHeight w:val="122"/>
        </w:trPr>
        <w:tc>
          <w:tcPr>
            <w:tcW w:w="20" w:type="dxa"/>
            <w:vAlign w:val="bottom"/>
            <w:shd w:val="clear" w:color="auto" w:fill="47829E"/>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Borders>
              <w:left w:val="single" w:sz="8" w:color="47829E"/>
            </w:tcBorders>
          </w:tcPr>
          <w:p>
            <w:pPr>
              <w:spacing w:after="0"/>
              <w:rPr>
                <w:sz w:val="10"/>
                <w:szCs w:val="10"/>
                <w:color w:val="auto"/>
              </w:rPr>
            </w:pPr>
          </w:p>
        </w:tc>
        <w:tc>
          <w:tcPr>
            <w:tcW w:w="4460" w:type="dxa"/>
            <w:vAlign w:val="bottom"/>
            <w:tcBorders>
              <w:right w:val="single" w:sz="8" w:color="47829E"/>
            </w:tcBorders>
          </w:tcPr>
          <w:p>
            <w:pPr>
              <w:spacing w:after="0" w:line="122" w:lineRule="exact"/>
              <w:rPr>
                <w:sz w:val="20"/>
                <w:szCs w:val="20"/>
                <w:color w:val="auto"/>
              </w:rPr>
            </w:pPr>
            <w:r>
              <w:rPr>
                <w:rFonts w:ascii="Arial" w:cs="Arial" w:eastAsia="Arial" w:hAnsi="Arial"/>
                <w:sz w:val="10"/>
                <w:szCs w:val="10"/>
                <w:color w:val="auto"/>
              </w:rPr>
              <w:t>Cash Severance</w:t>
            </w:r>
            <w:r>
              <w:rPr>
                <w:rFonts w:ascii="Arial" w:cs="Arial" w:eastAsia="Arial" w:hAnsi="Arial"/>
                <w:sz w:val="14"/>
                <w:szCs w:val="14"/>
                <w:color w:val="auto"/>
                <w:vertAlign w:val="superscript"/>
              </w:rPr>
              <w:t>2</w:t>
            </w:r>
          </w:p>
        </w:tc>
        <w:tc>
          <w:tcPr>
            <w:tcW w:w="100" w:type="dxa"/>
            <w:vAlign w:val="bottom"/>
          </w:tcPr>
          <w:p>
            <w:pPr>
              <w:spacing w:after="0"/>
              <w:rPr>
                <w:sz w:val="10"/>
                <w:szCs w:val="10"/>
                <w:color w:val="auto"/>
              </w:rPr>
            </w:pPr>
          </w:p>
        </w:tc>
        <w:tc>
          <w:tcPr>
            <w:tcW w:w="1000" w:type="dxa"/>
            <w:vAlign w:val="bottom"/>
            <w:tcBorders>
              <w:right w:val="single" w:sz="8" w:color="47829E"/>
            </w:tcBorders>
          </w:tcPr>
          <w:p>
            <w:pPr>
              <w:spacing w:after="0"/>
              <w:rPr>
                <w:sz w:val="10"/>
                <w:szCs w:val="10"/>
                <w:color w:val="auto"/>
              </w:rPr>
            </w:pPr>
          </w:p>
        </w:tc>
        <w:tc>
          <w:tcPr>
            <w:tcW w:w="1160" w:type="dxa"/>
            <w:vAlign w:val="bottom"/>
            <w:tcBorders>
              <w:right w:val="single" w:sz="8" w:color="47829E"/>
            </w:tcBorders>
          </w:tcPr>
          <w:p>
            <w:pPr>
              <w:spacing w:after="0"/>
              <w:rPr>
                <w:sz w:val="10"/>
                <w:szCs w:val="10"/>
                <w:color w:val="auto"/>
              </w:rPr>
            </w:pPr>
          </w:p>
        </w:tc>
        <w:tc>
          <w:tcPr>
            <w:tcW w:w="880" w:type="dxa"/>
            <w:vAlign w:val="bottom"/>
            <w:tcBorders>
              <w:right w:val="single" w:sz="8" w:color="47829E"/>
            </w:tcBorders>
          </w:tcPr>
          <w:p>
            <w:pPr>
              <w:spacing w:after="0"/>
              <w:rPr>
                <w:sz w:val="10"/>
                <w:szCs w:val="10"/>
                <w:color w:val="auto"/>
              </w:rPr>
            </w:pPr>
          </w:p>
        </w:tc>
        <w:tc>
          <w:tcPr>
            <w:tcW w:w="900" w:type="dxa"/>
            <w:vAlign w:val="bottom"/>
            <w:tcBorders>
              <w:right w:val="single" w:sz="8" w:color="47829E"/>
            </w:tcBorders>
          </w:tcPr>
          <w:p>
            <w:pPr>
              <w:spacing w:after="0"/>
              <w:rPr>
                <w:sz w:val="10"/>
                <w:szCs w:val="10"/>
                <w:color w:val="auto"/>
              </w:rPr>
            </w:pPr>
          </w:p>
        </w:tc>
        <w:tc>
          <w:tcPr>
            <w:tcW w:w="1000" w:type="dxa"/>
            <w:vAlign w:val="bottom"/>
            <w:tcBorders>
              <w:right w:val="single" w:sz="8" w:color="47829E"/>
            </w:tcBorders>
          </w:tcPr>
          <w:p>
            <w:pPr>
              <w:jc w:val="right"/>
              <w:ind w:right="132"/>
              <w:spacing w:after="0" w:line="122" w:lineRule="exact"/>
              <w:rPr>
                <w:sz w:val="20"/>
                <w:szCs w:val="20"/>
                <w:color w:val="auto"/>
              </w:rPr>
            </w:pPr>
            <w:r>
              <w:rPr>
                <w:rFonts w:ascii="Arial" w:cs="Arial" w:eastAsia="Arial" w:hAnsi="Arial"/>
                <w:sz w:val="14"/>
                <w:szCs w:val="14"/>
                <w:color w:val="auto"/>
              </w:rPr>
              <w:t>2,018,127</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spacing w:after="0"/>
              <w:rPr>
                <w:sz w:val="12"/>
                <w:szCs w:val="12"/>
                <w:color w:val="auto"/>
              </w:rPr>
            </w:pP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7"/>
                <w:szCs w:val="17"/>
                <w:color w:val="auto"/>
                <w:vertAlign w:val="superscript"/>
              </w:rPr>
              <w:t>3</w:t>
            </w:r>
          </w:p>
        </w:tc>
        <w:tc>
          <w:tcPr>
            <w:tcW w:w="1100" w:type="dxa"/>
            <w:vAlign w:val="bottom"/>
            <w:tcBorders>
              <w:right w:val="single" w:sz="8" w:color="47829E"/>
            </w:tcBorders>
            <w:gridSpan w:val="2"/>
          </w:tcPr>
          <w:p>
            <w:pPr>
              <w:jc w:val="right"/>
              <w:ind w:right="72"/>
              <w:spacing w:after="0" w:line="149" w:lineRule="exact"/>
              <w:rPr>
                <w:sz w:val="20"/>
                <w:szCs w:val="20"/>
                <w:color w:val="auto"/>
              </w:rPr>
            </w:pPr>
            <w:r>
              <w:rPr>
                <w:rFonts w:ascii="Arial" w:cs="Arial" w:eastAsia="Arial" w:hAnsi="Arial"/>
                <w:sz w:val="14"/>
                <w:szCs w:val="14"/>
                <w:color w:val="auto"/>
              </w:rPr>
              <w:t>1,963,255</w:t>
            </w:r>
          </w:p>
        </w:tc>
        <w:tc>
          <w:tcPr>
            <w:tcW w:w="116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1,963,255</w:t>
            </w:r>
          </w:p>
        </w:tc>
        <w:tc>
          <w:tcPr>
            <w:tcW w:w="90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1,963,255</w:t>
            </w: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1,963,255</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spacing w:after="0"/>
              <w:rPr>
                <w:sz w:val="12"/>
                <w:szCs w:val="12"/>
                <w:color w:val="auto"/>
              </w:rPr>
            </w:pP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7"/>
                <w:szCs w:val="17"/>
                <w:color w:val="auto"/>
                <w:vertAlign w:val="superscript"/>
              </w:rPr>
              <w:t>4</w:t>
            </w:r>
          </w:p>
        </w:tc>
        <w:tc>
          <w:tcPr>
            <w:tcW w:w="100" w:type="dxa"/>
            <w:vAlign w:val="bottom"/>
          </w:tcPr>
          <w:p>
            <w:pPr>
              <w:spacing w:after="0"/>
              <w:rPr>
                <w:sz w:val="12"/>
                <w:szCs w:val="12"/>
                <w:color w:val="auto"/>
              </w:rPr>
            </w:pPr>
          </w:p>
        </w:tc>
        <w:tc>
          <w:tcPr>
            <w:tcW w:w="1000" w:type="dxa"/>
            <w:vAlign w:val="bottom"/>
            <w:tcBorders>
              <w:right w:val="single" w:sz="8" w:color="47829E"/>
            </w:tcBorders>
          </w:tcPr>
          <w:p>
            <w:pPr>
              <w:spacing w:after="0"/>
              <w:rPr>
                <w:sz w:val="12"/>
                <w:szCs w:val="12"/>
                <w:color w:val="auto"/>
              </w:rPr>
            </w:pPr>
          </w:p>
        </w:tc>
        <w:tc>
          <w:tcPr>
            <w:tcW w:w="116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119,657</w:t>
            </w:r>
          </w:p>
        </w:tc>
        <w:tc>
          <w:tcPr>
            <w:tcW w:w="90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119,657</w:t>
            </w: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119,657</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spacing w:after="0"/>
              <w:rPr>
                <w:sz w:val="12"/>
                <w:szCs w:val="12"/>
                <w:color w:val="auto"/>
              </w:rPr>
            </w:pP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7"/>
                <w:szCs w:val="17"/>
                <w:color w:val="auto"/>
                <w:vertAlign w:val="superscript"/>
              </w:rPr>
              <w:t>5</w:t>
            </w:r>
          </w:p>
        </w:tc>
        <w:tc>
          <w:tcPr>
            <w:tcW w:w="1100" w:type="dxa"/>
            <w:vAlign w:val="bottom"/>
            <w:tcBorders>
              <w:right w:val="single" w:sz="8" w:color="47829E"/>
            </w:tcBorders>
            <w:gridSpan w:val="2"/>
          </w:tcPr>
          <w:p>
            <w:pPr>
              <w:jc w:val="right"/>
              <w:ind w:right="72"/>
              <w:spacing w:after="0" w:line="149" w:lineRule="exact"/>
              <w:rPr>
                <w:sz w:val="20"/>
                <w:szCs w:val="20"/>
                <w:color w:val="auto"/>
              </w:rPr>
            </w:pPr>
            <w:r>
              <w:rPr>
                <w:rFonts w:ascii="Arial" w:cs="Arial" w:eastAsia="Arial" w:hAnsi="Arial"/>
                <w:sz w:val="14"/>
                <w:szCs w:val="14"/>
                <w:color w:val="auto"/>
              </w:rPr>
              <w:t>36,956</w:t>
            </w:r>
          </w:p>
        </w:tc>
        <w:tc>
          <w:tcPr>
            <w:tcW w:w="1160" w:type="dxa"/>
            <w:vAlign w:val="bottom"/>
            <w:tcBorders>
              <w:right w:val="single" w:sz="8" w:color="47829E"/>
            </w:tcBorders>
          </w:tcPr>
          <w:p>
            <w:pPr>
              <w:jc w:val="right"/>
              <w:ind w:right="72"/>
              <w:spacing w:after="0" w:line="149" w:lineRule="exact"/>
              <w:rPr>
                <w:sz w:val="20"/>
                <w:szCs w:val="20"/>
                <w:color w:val="auto"/>
              </w:rPr>
            </w:pPr>
            <w:r>
              <w:rPr>
                <w:rFonts w:ascii="Arial" w:cs="Arial" w:eastAsia="Arial" w:hAnsi="Arial"/>
                <w:sz w:val="14"/>
                <w:szCs w:val="14"/>
                <w:color w:val="auto"/>
              </w:rPr>
              <w:t>18,367</w:t>
            </w:r>
          </w:p>
        </w:tc>
        <w:tc>
          <w:tcPr>
            <w:tcW w:w="88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36,956</w:t>
            </w:r>
          </w:p>
        </w:tc>
        <w:tc>
          <w:tcPr>
            <w:tcW w:w="90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36,956</w:t>
            </w: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36,956</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Roselyn R. Bar</w:t>
            </w: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1"/>
                <w:szCs w:val="11"/>
                <w:color w:val="auto"/>
              </w:rPr>
              <w:t>Performance Shares</w:t>
            </w:r>
            <w:r>
              <w:rPr>
                <w:rFonts w:ascii="Arial" w:cs="Arial" w:eastAsia="Arial" w:hAnsi="Arial"/>
                <w:sz w:val="17"/>
                <w:szCs w:val="17"/>
                <w:color w:val="auto"/>
                <w:vertAlign w:val="superscript"/>
              </w:rPr>
              <w:t>6</w:t>
            </w:r>
          </w:p>
        </w:tc>
        <w:tc>
          <w:tcPr>
            <w:tcW w:w="1100" w:type="dxa"/>
            <w:vAlign w:val="bottom"/>
            <w:tcBorders>
              <w:right w:val="single" w:sz="8" w:color="47829E"/>
            </w:tcBorders>
            <w:gridSpan w:val="2"/>
          </w:tcPr>
          <w:p>
            <w:pPr>
              <w:jc w:val="right"/>
              <w:ind w:right="72"/>
              <w:spacing w:after="0" w:line="149" w:lineRule="exact"/>
              <w:rPr>
                <w:sz w:val="20"/>
                <w:szCs w:val="20"/>
                <w:color w:val="auto"/>
              </w:rPr>
            </w:pPr>
            <w:r>
              <w:rPr>
                <w:rFonts w:ascii="Arial" w:cs="Arial" w:eastAsia="Arial" w:hAnsi="Arial"/>
                <w:sz w:val="14"/>
                <w:szCs w:val="14"/>
                <w:color w:val="auto"/>
              </w:rPr>
              <w:t>145,843</w:t>
            </w:r>
          </w:p>
        </w:tc>
        <w:tc>
          <w:tcPr>
            <w:tcW w:w="116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145,843</w:t>
            </w:r>
          </w:p>
        </w:tc>
        <w:tc>
          <w:tcPr>
            <w:tcW w:w="90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145,843</w:t>
            </w: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145,843</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spacing w:after="0"/>
              <w:rPr>
                <w:sz w:val="12"/>
                <w:szCs w:val="12"/>
                <w:color w:val="auto"/>
              </w:rPr>
            </w:pP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1"/>
                <w:szCs w:val="11"/>
                <w:color w:val="auto"/>
              </w:rPr>
              <w:t>Retirement Plans</w:t>
            </w:r>
            <w:r>
              <w:rPr>
                <w:rFonts w:ascii="Arial" w:cs="Arial" w:eastAsia="Arial" w:hAnsi="Arial"/>
                <w:sz w:val="17"/>
                <w:szCs w:val="17"/>
                <w:color w:val="auto"/>
                <w:vertAlign w:val="superscript"/>
              </w:rPr>
              <w:t>7</w:t>
            </w:r>
          </w:p>
        </w:tc>
        <w:tc>
          <w:tcPr>
            <w:tcW w:w="100" w:type="dxa"/>
            <w:vAlign w:val="bottom"/>
          </w:tcPr>
          <w:p>
            <w:pPr>
              <w:spacing w:after="0"/>
              <w:rPr>
                <w:sz w:val="12"/>
                <w:szCs w:val="12"/>
                <w:color w:val="auto"/>
              </w:rPr>
            </w:pPr>
          </w:p>
        </w:tc>
        <w:tc>
          <w:tcPr>
            <w:tcW w:w="1000" w:type="dxa"/>
            <w:vAlign w:val="bottom"/>
            <w:tcBorders>
              <w:right w:val="single" w:sz="8" w:color="47829E"/>
            </w:tcBorders>
          </w:tcPr>
          <w:p>
            <w:pPr>
              <w:spacing w:after="0"/>
              <w:rPr>
                <w:sz w:val="12"/>
                <w:szCs w:val="12"/>
                <w:color w:val="auto"/>
              </w:rPr>
            </w:pPr>
          </w:p>
        </w:tc>
        <w:tc>
          <w:tcPr>
            <w:tcW w:w="116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142,883</w:t>
            </w:r>
          </w:p>
        </w:tc>
        <w:tc>
          <w:tcPr>
            <w:tcW w:w="900" w:type="dxa"/>
            <w:vAlign w:val="bottom"/>
            <w:tcBorders>
              <w:right w:val="single" w:sz="8" w:color="47829E"/>
            </w:tcBorders>
          </w:tcPr>
          <w:p>
            <w:pPr>
              <w:spacing w:after="0"/>
              <w:rPr>
                <w:sz w:val="12"/>
                <w:szCs w:val="12"/>
                <w:color w:val="auto"/>
              </w:rPr>
            </w:pP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2,429,440</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spacing w:after="0"/>
              <w:rPr>
                <w:sz w:val="12"/>
                <w:szCs w:val="12"/>
                <w:color w:val="auto"/>
              </w:rPr>
            </w:pP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7"/>
                <w:szCs w:val="17"/>
                <w:color w:val="auto"/>
                <w:vertAlign w:val="superscript"/>
              </w:rPr>
              <w:t>8</w:t>
            </w:r>
          </w:p>
        </w:tc>
        <w:tc>
          <w:tcPr>
            <w:tcW w:w="100" w:type="dxa"/>
            <w:vAlign w:val="bottom"/>
          </w:tcPr>
          <w:p>
            <w:pPr>
              <w:spacing w:after="0"/>
              <w:rPr>
                <w:sz w:val="12"/>
                <w:szCs w:val="12"/>
                <w:color w:val="auto"/>
              </w:rPr>
            </w:pPr>
          </w:p>
        </w:tc>
        <w:tc>
          <w:tcPr>
            <w:tcW w:w="1000" w:type="dxa"/>
            <w:vAlign w:val="bottom"/>
            <w:tcBorders>
              <w:right w:val="single" w:sz="8" w:color="47829E"/>
            </w:tcBorders>
          </w:tcPr>
          <w:p>
            <w:pPr>
              <w:spacing w:after="0"/>
              <w:rPr>
                <w:sz w:val="12"/>
                <w:szCs w:val="12"/>
                <w:color w:val="auto"/>
              </w:rPr>
            </w:pPr>
          </w:p>
        </w:tc>
        <w:tc>
          <w:tcPr>
            <w:tcW w:w="116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50,964</w:t>
            </w:r>
          </w:p>
        </w:tc>
        <w:tc>
          <w:tcPr>
            <w:tcW w:w="0" w:type="dxa"/>
            <w:vAlign w:val="bottom"/>
          </w:tcPr>
          <w:p>
            <w:pPr>
              <w:spacing w:after="0"/>
              <w:rPr>
                <w:sz w:val="1"/>
                <w:szCs w:val="1"/>
                <w:color w:val="auto"/>
              </w:rPr>
            </w:pPr>
          </w:p>
        </w:tc>
      </w:tr>
      <w:tr>
        <w:trPr>
          <w:trHeight w:val="175"/>
        </w:trPr>
        <w:tc>
          <w:tcPr>
            <w:tcW w:w="20" w:type="dxa"/>
            <w:vAlign w:val="bottom"/>
            <w:shd w:val="clear" w:color="auto" w:fill="47829E"/>
          </w:tcPr>
          <w:p>
            <w:pPr>
              <w:spacing w:after="0"/>
              <w:rPr>
                <w:sz w:val="15"/>
                <w:szCs w:val="15"/>
                <w:color w:val="auto"/>
              </w:rPr>
            </w:pPr>
          </w:p>
        </w:tc>
        <w:tc>
          <w:tcPr>
            <w:tcW w:w="1820" w:type="dxa"/>
            <w:vAlign w:val="bottom"/>
          </w:tcPr>
          <w:p>
            <w:pPr>
              <w:spacing w:after="0"/>
              <w:rPr>
                <w:sz w:val="15"/>
                <w:szCs w:val="15"/>
                <w:color w:val="auto"/>
              </w:rPr>
            </w:pPr>
          </w:p>
        </w:tc>
        <w:tc>
          <w:tcPr>
            <w:tcW w:w="4560" w:type="dxa"/>
            <w:vAlign w:val="bottom"/>
            <w:tcBorders>
              <w:left w:val="single" w:sz="8" w:color="47829E"/>
              <w:right w:val="single" w:sz="8" w:color="47829E"/>
            </w:tcBorders>
            <w:gridSpan w:val="2"/>
          </w:tcPr>
          <w:p>
            <w:pPr>
              <w:ind w:left="100"/>
              <w:spacing w:after="0" w:line="175" w:lineRule="exact"/>
              <w:rPr>
                <w:sz w:val="20"/>
                <w:szCs w:val="20"/>
                <w:color w:val="auto"/>
              </w:rPr>
            </w:pPr>
            <w:r>
              <w:rPr>
                <w:rFonts w:ascii="Arial" w:cs="Arial" w:eastAsia="Arial" w:hAnsi="Arial"/>
                <w:sz w:val="13"/>
                <w:szCs w:val="13"/>
                <w:color w:val="auto"/>
              </w:rPr>
              <w:t>Retiree Medical Benefits</w:t>
            </w:r>
            <w:r>
              <w:rPr>
                <w:rFonts w:ascii="Arial" w:cs="Arial" w:eastAsia="Arial" w:hAnsi="Arial"/>
                <w:sz w:val="20"/>
                <w:szCs w:val="20"/>
                <w:color w:val="auto"/>
                <w:vertAlign w:val="superscript"/>
              </w:rPr>
              <w:t>9</w:t>
            </w:r>
          </w:p>
        </w:tc>
        <w:tc>
          <w:tcPr>
            <w:tcW w:w="100" w:type="dxa"/>
            <w:vAlign w:val="bottom"/>
          </w:tcPr>
          <w:p>
            <w:pPr>
              <w:spacing w:after="0"/>
              <w:rPr>
                <w:sz w:val="15"/>
                <w:szCs w:val="15"/>
                <w:color w:val="auto"/>
              </w:rPr>
            </w:pPr>
          </w:p>
        </w:tc>
        <w:tc>
          <w:tcPr>
            <w:tcW w:w="1000" w:type="dxa"/>
            <w:vAlign w:val="bottom"/>
            <w:tcBorders>
              <w:right w:val="single" w:sz="8" w:color="47829E"/>
            </w:tcBorders>
          </w:tcPr>
          <w:p>
            <w:pPr>
              <w:spacing w:after="0"/>
              <w:rPr>
                <w:sz w:val="15"/>
                <w:szCs w:val="15"/>
                <w:color w:val="auto"/>
              </w:rPr>
            </w:pPr>
          </w:p>
        </w:tc>
        <w:tc>
          <w:tcPr>
            <w:tcW w:w="1160" w:type="dxa"/>
            <w:vAlign w:val="bottom"/>
            <w:tcBorders>
              <w:right w:val="single" w:sz="8" w:color="47829E"/>
            </w:tcBorders>
          </w:tcPr>
          <w:p>
            <w:pPr>
              <w:spacing w:after="0"/>
              <w:rPr>
                <w:sz w:val="15"/>
                <w:szCs w:val="15"/>
                <w:color w:val="auto"/>
              </w:rPr>
            </w:pPr>
          </w:p>
        </w:tc>
        <w:tc>
          <w:tcPr>
            <w:tcW w:w="880" w:type="dxa"/>
            <w:vAlign w:val="bottom"/>
            <w:tcBorders>
              <w:right w:val="single" w:sz="8" w:color="47829E"/>
            </w:tcBorders>
          </w:tcPr>
          <w:p>
            <w:pPr>
              <w:spacing w:after="0"/>
              <w:rPr>
                <w:sz w:val="15"/>
                <w:szCs w:val="15"/>
                <w:color w:val="auto"/>
              </w:rPr>
            </w:pPr>
          </w:p>
        </w:tc>
        <w:tc>
          <w:tcPr>
            <w:tcW w:w="900" w:type="dxa"/>
            <w:vAlign w:val="bottom"/>
            <w:tcBorders>
              <w:right w:val="single" w:sz="8" w:color="47829E"/>
            </w:tcBorders>
          </w:tcPr>
          <w:p>
            <w:pPr>
              <w:spacing w:after="0"/>
              <w:rPr>
                <w:sz w:val="15"/>
                <w:szCs w:val="15"/>
                <w:color w:val="auto"/>
              </w:rPr>
            </w:pPr>
          </w:p>
        </w:tc>
        <w:tc>
          <w:tcPr>
            <w:tcW w:w="1000" w:type="dxa"/>
            <w:vAlign w:val="bottom"/>
            <w:tcBorders>
              <w:right w:val="single" w:sz="8" w:color="47829E"/>
            </w:tcBorders>
          </w:tcPr>
          <w:p>
            <w:pPr>
              <w:jc w:val="right"/>
              <w:ind w:right="132"/>
              <w:spacing w:after="0"/>
              <w:rPr>
                <w:sz w:val="20"/>
                <w:szCs w:val="20"/>
                <w:color w:val="auto"/>
              </w:rPr>
            </w:pPr>
            <w:r>
              <w:rPr>
                <w:rFonts w:ascii="Arial" w:cs="Arial" w:eastAsia="Arial" w:hAnsi="Arial"/>
                <w:sz w:val="14"/>
                <w:szCs w:val="14"/>
                <w:color w:val="auto"/>
              </w:rPr>
              <w:t>49,380</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spacing w:after="0"/>
              <w:rPr>
                <w:sz w:val="12"/>
                <w:szCs w:val="12"/>
                <w:color w:val="auto"/>
              </w:rPr>
            </w:pP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4"/>
                <w:szCs w:val="14"/>
                <w:color w:val="auto"/>
              </w:rPr>
              <w:t>Excise Tax &amp; Gross-up</w:t>
            </w:r>
          </w:p>
        </w:tc>
        <w:tc>
          <w:tcPr>
            <w:tcW w:w="100" w:type="dxa"/>
            <w:vAlign w:val="bottom"/>
          </w:tcPr>
          <w:p>
            <w:pPr>
              <w:spacing w:after="0"/>
              <w:rPr>
                <w:sz w:val="12"/>
                <w:szCs w:val="12"/>
                <w:color w:val="auto"/>
              </w:rPr>
            </w:pPr>
          </w:p>
        </w:tc>
        <w:tc>
          <w:tcPr>
            <w:tcW w:w="1000" w:type="dxa"/>
            <w:vAlign w:val="bottom"/>
            <w:tcBorders>
              <w:right w:val="single" w:sz="8" w:color="47829E"/>
            </w:tcBorders>
          </w:tcPr>
          <w:p>
            <w:pPr>
              <w:spacing w:after="0"/>
              <w:rPr>
                <w:sz w:val="12"/>
                <w:szCs w:val="12"/>
                <w:color w:val="auto"/>
              </w:rPr>
            </w:pPr>
          </w:p>
        </w:tc>
        <w:tc>
          <w:tcPr>
            <w:tcW w:w="116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2,861,930</w:t>
            </w:r>
          </w:p>
        </w:tc>
        <w:tc>
          <w:tcPr>
            <w:tcW w:w="0" w:type="dxa"/>
            <w:vAlign w:val="bottom"/>
          </w:tcPr>
          <w:p>
            <w:pPr>
              <w:spacing w:after="0"/>
              <w:rPr>
                <w:sz w:val="1"/>
                <w:szCs w:val="1"/>
                <w:color w:val="auto"/>
              </w:rPr>
            </w:pPr>
          </w:p>
        </w:tc>
      </w:tr>
      <w:tr>
        <w:trPr>
          <w:trHeight w:val="122"/>
        </w:trPr>
        <w:tc>
          <w:tcPr>
            <w:tcW w:w="20" w:type="dxa"/>
            <w:vAlign w:val="bottom"/>
            <w:shd w:val="clear" w:color="auto" w:fill="47829E"/>
          </w:tcPr>
          <w:p>
            <w:pPr>
              <w:spacing w:after="0"/>
              <w:rPr>
                <w:sz w:val="10"/>
                <w:szCs w:val="10"/>
                <w:color w:val="auto"/>
              </w:rPr>
            </w:pPr>
          </w:p>
        </w:tc>
        <w:tc>
          <w:tcPr>
            <w:tcW w:w="1820" w:type="dxa"/>
            <w:vAlign w:val="bottom"/>
            <w:shd w:val="clear" w:color="auto" w:fill="E3ECF0"/>
          </w:tcPr>
          <w:p>
            <w:pPr>
              <w:spacing w:after="0"/>
              <w:rPr>
                <w:sz w:val="10"/>
                <w:szCs w:val="10"/>
                <w:color w:val="auto"/>
              </w:rPr>
            </w:pPr>
          </w:p>
        </w:tc>
        <w:tc>
          <w:tcPr>
            <w:tcW w:w="100" w:type="dxa"/>
            <w:vAlign w:val="bottom"/>
            <w:tcBorders>
              <w:left w:val="single" w:sz="8" w:color="47829E"/>
            </w:tcBorders>
            <w:shd w:val="clear" w:color="auto" w:fill="E3ECF0"/>
          </w:tcPr>
          <w:p>
            <w:pPr>
              <w:spacing w:after="0"/>
              <w:rPr>
                <w:sz w:val="10"/>
                <w:szCs w:val="10"/>
                <w:color w:val="auto"/>
              </w:rPr>
            </w:pPr>
          </w:p>
        </w:tc>
        <w:tc>
          <w:tcPr>
            <w:tcW w:w="4460" w:type="dxa"/>
            <w:vAlign w:val="bottom"/>
            <w:tcBorders>
              <w:right w:val="single" w:sz="8" w:color="47829E"/>
            </w:tcBorders>
            <w:shd w:val="clear" w:color="auto" w:fill="E3ECF0"/>
          </w:tcPr>
          <w:p>
            <w:pPr>
              <w:spacing w:after="0" w:line="122" w:lineRule="exact"/>
              <w:rPr>
                <w:sz w:val="20"/>
                <w:szCs w:val="20"/>
                <w:color w:val="auto"/>
              </w:rPr>
            </w:pPr>
            <w:r>
              <w:rPr>
                <w:rFonts w:ascii="Arial" w:cs="Arial" w:eastAsia="Arial" w:hAnsi="Arial"/>
                <w:sz w:val="10"/>
                <w:szCs w:val="10"/>
                <w:color w:val="auto"/>
              </w:rPr>
              <w:t>Cash Severance</w:t>
            </w:r>
            <w:r>
              <w:rPr>
                <w:rFonts w:ascii="Arial" w:cs="Arial" w:eastAsia="Arial" w:hAnsi="Arial"/>
                <w:sz w:val="14"/>
                <w:szCs w:val="14"/>
                <w:color w:val="auto"/>
                <w:vertAlign w:val="superscript"/>
              </w:rPr>
              <w:t>2</w:t>
            </w:r>
          </w:p>
        </w:tc>
        <w:tc>
          <w:tcPr>
            <w:tcW w:w="100" w:type="dxa"/>
            <w:vAlign w:val="bottom"/>
            <w:shd w:val="clear" w:color="auto" w:fill="E3ECF0"/>
          </w:tcPr>
          <w:p>
            <w:pPr>
              <w:spacing w:after="0"/>
              <w:rPr>
                <w:sz w:val="10"/>
                <w:szCs w:val="10"/>
                <w:color w:val="auto"/>
              </w:rPr>
            </w:pPr>
          </w:p>
        </w:tc>
        <w:tc>
          <w:tcPr>
            <w:tcW w:w="1000" w:type="dxa"/>
            <w:vAlign w:val="bottom"/>
            <w:tcBorders>
              <w:right w:val="single" w:sz="8" w:color="47829E"/>
            </w:tcBorders>
            <w:shd w:val="clear" w:color="auto" w:fill="E3ECF0"/>
          </w:tcPr>
          <w:p>
            <w:pPr>
              <w:spacing w:after="0"/>
              <w:rPr>
                <w:sz w:val="10"/>
                <w:szCs w:val="10"/>
                <w:color w:val="auto"/>
              </w:rPr>
            </w:pPr>
          </w:p>
        </w:tc>
        <w:tc>
          <w:tcPr>
            <w:tcW w:w="1160" w:type="dxa"/>
            <w:vAlign w:val="bottom"/>
            <w:tcBorders>
              <w:right w:val="single" w:sz="8" w:color="47829E"/>
            </w:tcBorders>
            <w:shd w:val="clear" w:color="auto" w:fill="E3ECF0"/>
          </w:tcPr>
          <w:p>
            <w:pPr>
              <w:spacing w:after="0"/>
              <w:rPr>
                <w:sz w:val="10"/>
                <w:szCs w:val="10"/>
                <w:color w:val="auto"/>
              </w:rPr>
            </w:pPr>
          </w:p>
        </w:tc>
        <w:tc>
          <w:tcPr>
            <w:tcW w:w="880" w:type="dxa"/>
            <w:vAlign w:val="bottom"/>
            <w:tcBorders>
              <w:right w:val="single" w:sz="8" w:color="47829E"/>
            </w:tcBorders>
            <w:shd w:val="clear" w:color="auto" w:fill="E3ECF0"/>
          </w:tcPr>
          <w:p>
            <w:pPr>
              <w:spacing w:after="0"/>
              <w:rPr>
                <w:sz w:val="10"/>
                <w:szCs w:val="10"/>
                <w:color w:val="auto"/>
              </w:rPr>
            </w:pPr>
          </w:p>
        </w:tc>
        <w:tc>
          <w:tcPr>
            <w:tcW w:w="900" w:type="dxa"/>
            <w:vAlign w:val="bottom"/>
            <w:tcBorders>
              <w:right w:val="single" w:sz="8" w:color="47829E"/>
            </w:tcBorders>
            <w:shd w:val="clear" w:color="auto" w:fill="E3ECF0"/>
          </w:tcPr>
          <w:p>
            <w:pPr>
              <w:spacing w:after="0"/>
              <w:rPr>
                <w:sz w:val="10"/>
                <w:szCs w:val="10"/>
                <w:color w:val="auto"/>
              </w:rPr>
            </w:pPr>
          </w:p>
        </w:tc>
        <w:tc>
          <w:tcPr>
            <w:tcW w:w="1000" w:type="dxa"/>
            <w:vAlign w:val="bottom"/>
            <w:tcBorders>
              <w:right w:val="single" w:sz="8" w:color="47829E"/>
            </w:tcBorders>
            <w:shd w:val="clear" w:color="auto" w:fill="E3ECF0"/>
          </w:tcPr>
          <w:p>
            <w:pPr>
              <w:jc w:val="right"/>
              <w:ind w:right="132"/>
              <w:spacing w:after="0" w:line="122" w:lineRule="exact"/>
              <w:rPr>
                <w:sz w:val="20"/>
                <w:szCs w:val="20"/>
                <w:color w:val="auto"/>
              </w:rPr>
            </w:pPr>
            <w:r>
              <w:rPr>
                <w:rFonts w:ascii="Arial" w:cs="Arial" w:eastAsia="Arial" w:hAnsi="Arial"/>
                <w:sz w:val="14"/>
                <w:szCs w:val="14"/>
                <w:color w:val="auto"/>
              </w:rPr>
              <w:t>1,664,372</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shd w:val="clear" w:color="auto" w:fill="E3ECF0"/>
          </w:tcPr>
          <w:p>
            <w:pPr>
              <w:spacing w:after="0"/>
              <w:rPr>
                <w:sz w:val="12"/>
                <w:szCs w:val="12"/>
                <w:color w:val="auto"/>
              </w:rPr>
            </w:pPr>
          </w:p>
        </w:tc>
        <w:tc>
          <w:tcPr>
            <w:tcW w:w="100" w:type="dxa"/>
            <w:vAlign w:val="bottom"/>
            <w:tcBorders>
              <w:left w:val="single" w:sz="8" w:color="47829E"/>
            </w:tcBorders>
            <w:shd w:val="clear" w:color="auto" w:fill="E3ECF0"/>
          </w:tcPr>
          <w:p>
            <w:pPr>
              <w:spacing w:after="0"/>
              <w:rPr>
                <w:sz w:val="12"/>
                <w:szCs w:val="12"/>
                <w:color w:val="auto"/>
              </w:rPr>
            </w:pPr>
          </w:p>
        </w:tc>
        <w:tc>
          <w:tcPr>
            <w:tcW w:w="4460" w:type="dxa"/>
            <w:vAlign w:val="bottom"/>
            <w:tcBorders>
              <w:right w:val="single" w:sz="8" w:color="47829E"/>
            </w:tcBorders>
            <w:shd w:val="clear" w:color="auto" w:fill="E3ECF0"/>
          </w:tcPr>
          <w:p>
            <w:pPr>
              <w:spacing w:after="0" w:line="149"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7"/>
                <w:szCs w:val="17"/>
                <w:color w:val="auto"/>
                <w:vertAlign w:val="superscript"/>
              </w:rPr>
              <w:t>3</w:t>
            </w:r>
          </w:p>
        </w:tc>
        <w:tc>
          <w:tcPr>
            <w:tcW w:w="1100" w:type="dxa"/>
            <w:vAlign w:val="bottom"/>
            <w:tcBorders>
              <w:right w:val="single" w:sz="8" w:color="47829E"/>
            </w:tcBorders>
            <w:gridSpan w:val="2"/>
            <w:shd w:val="clear" w:color="auto" w:fill="E3ECF0"/>
          </w:tcPr>
          <w:p>
            <w:pPr>
              <w:jc w:val="right"/>
              <w:ind w:right="72"/>
              <w:spacing w:after="0" w:line="149" w:lineRule="exact"/>
              <w:rPr>
                <w:sz w:val="20"/>
                <w:szCs w:val="20"/>
                <w:color w:val="auto"/>
              </w:rPr>
            </w:pPr>
            <w:r>
              <w:rPr>
                <w:rFonts w:ascii="Arial" w:cs="Arial" w:eastAsia="Arial" w:hAnsi="Arial"/>
                <w:sz w:val="14"/>
                <w:szCs w:val="14"/>
                <w:color w:val="auto"/>
              </w:rPr>
              <w:t>1,442,213</w:t>
            </w:r>
          </w:p>
        </w:tc>
        <w:tc>
          <w:tcPr>
            <w:tcW w:w="1160" w:type="dxa"/>
            <w:vAlign w:val="bottom"/>
            <w:tcBorders>
              <w:right w:val="single" w:sz="8" w:color="47829E"/>
            </w:tcBorders>
            <w:shd w:val="clear" w:color="auto" w:fill="E3ECF0"/>
          </w:tcPr>
          <w:p>
            <w:pPr>
              <w:spacing w:after="0"/>
              <w:rPr>
                <w:sz w:val="12"/>
                <w:szCs w:val="12"/>
                <w:color w:val="auto"/>
              </w:rPr>
            </w:pPr>
          </w:p>
        </w:tc>
        <w:tc>
          <w:tcPr>
            <w:tcW w:w="88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1,442,213</w:t>
            </w:r>
          </w:p>
        </w:tc>
        <w:tc>
          <w:tcPr>
            <w:tcW w:w="90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1,442,213</w:t>
            </w:r>
          </w:p>
        </w:tc>
        <w:tc>
          <w:tcPr>
            <w:tcW w:w="1000" w:type="dxa"/>
            <w:vAlign w:val="bottom"/>
            <w:tcBorders>
              <w:right w:val="single" w:sz="8" w:color="47829E"/>
            </w:tcBorders>
            <w:shd w:val="clear" w:color="auto" w:fill="E3ECF0"/>
          </w:tcPr>
          <w:p>
            <w:pPr>
              <w:jc w:val="right"/>
              <w:ind w:right="132"/>
              <w:spacing w:after="0" w:line="149" w:lineRule="exact"/>
              <w:rPr>
                <w:sz w:val="20"/>
                <w:szCs w:val="20"/>
                <w:color w:val="auto"/>
              </w:rPr>
            </w:pPr>
            <w:r>
              <w:rPr>
                <w:rFonts w:ascii="Arial" w:cs="Arial" w:eastAsia="Arial" w:hAnsi="Arial"/>
                <w:sz w:val="14"/>
                <w:szCs w:val="14"/>
                <w:color w:val="auto"/>
              </w:rPr>
              <w:t>1,442,213</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shd w:val="clear" w:color="auto" w:fill="E3ECF0"/>
          </w:tcPr>
          <w:p>
            <w:pPr>
              <w:spacing w:after="0"/>
              <w:rPr>
                <w:sz w:val="12"/>
                <w:szCs w:val="12"/>
                <w:color w:val="auto"/>
              </w:rPr>
            </w:pPr>
          </w:p>
        </w:tc>
        <w:tc>
          <w:tcPr>
            <w:tcW w:w="100" w:type="dxa"/>
            <w:vAlign w:val="bottom"/>
            <w:tcBorders>
              <w:left w:val="single" w:sz="8" w:color="47829E"/>
            </w:tcBorders>
            <w:shd w:val="clear" w:color="auto" w:fill="E3ECF0"/>
          </w:tcPr>
          <w:p>
            <w:pPr>
              <w:spacing w:after="0"/>
              <w:rPr>
                <w:sz w:val="12"/>
                <w:szCs w:val="12"/>
                <w:color w:val="auto"/>
              </w:rPr>
            </w:pPr>
          </w:p>
        </w:tc>
        <w:tc>
          <w:tcPr>
            <w:tcW w:w="4460" w:type="dxa"/>
            <w:vAlign w:val="bottom"/>
            <w:tcBorders>
              <w:right w:val="single" w:sz="8" w:color="47829E"/>
            </w:tcBorders>
            <w:shd w:val="clear" w:color="auto" w:fill="E3ECF0"/>
          </w:tcPr>
          <w:p>
            <w:pPr>
              <w:spacing w:after="0" w:line="149"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7"/>
                <w:szCs w:val="17"/>
                <w:color w:val="auto"/>
                <w:vertAlign w:val="superscript"/>
              </w:rPr>
              <w:t>4</w:t>
            </w:r>
          </w:p>
        </w:tc>
        <w:tc>
          <w:tcPr>
            <w:tcW w:w="100" w:type="dxa"/>
            <w:vAlign w:val="bottom"/>
            <w:shd w:val="clear" w:color="auto" w:fill="E3ECF0"/>
          </w:tcPr>
          <w:p>
            <w:pPr>
              <w:spacing w:after="0"/>
              <w:rPr>
                <w:sz w:val="12"/>
                <w:szCs w:val="12"/>
                <w:color w:val="auto"/>
              </w:rPr>
            </w:pPr>
          </w:p>
        </w:tc>
        <w:tc>
          <w:tcPr>
            <w:tcW w:w="1000" w:type="dxa"/>
            <w:vAlign w:val="bottom"/>
            <w:tcBorders>
              <w:right w:val="single" w:sz="8" w:color="47829E"/>
            </w:tcBorders>
            <w:shd w:val="clear" w:color="auto" w:fill="E3ECF0"/>
          </w:tcPr>
          <w:p>
            <w:pPr>
              <w:spacing w:after="0"/>
              <w:rPr>
                <w:sz w:val="12"/>
                <w:szCs w:val="12"/>
                <w:color w:val="auto"/>
              </w:rPr>
            </w:pPr>
          </w:p>
        </w:tc>
        <w:tc>
          <w:tcPr>
            <w:tcW w:w="1160" w:type="dxa"/>
            <w:vAlign w:val="bottom"/>
            <w:tcBorders>
              <w:right w:val="single" w:sz="8" w:color="47829E"/>
            </w:tcBorders>
            <w:shd w:val="clear" w:color="auto" w:fill="E3ECF0"/>
          </w:tcPr>
          <w:p>
            <w:pPr>
              <w:spacing w:after="0"/>
              <w:rPr>
                <w:sz w:val="12"/>
                <w:szCs w:val="12"/>
                <w:color w:val="auto"/>
              </w:rPr>
            </w:pPr>
          </w:p>
        </w:tc>
        <w:tc>
          <w:tcPr>
            <w:tcW w:w="88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79,976</w:t>
            </w:r>
          </w:p>
        </w:tc>
        <w:tc>
          <w:tcPr>
            <w:tcW w:w="90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79,976</w:t>
            </w:r>
          </w:p>
        </w:tc>
        <w:tc>
          <w:tcPr>
            <w:tcW w:w="1000" w:type="dxa"/>
            <w:vAlign w:val="bottom"/>
            <w:tcBorders>
              <w:right w:val="single" w:sz="8" w:color="47829E"/>
            </w:tcBorders>
            <w:shd w:val="clear" w:color="auto" w:fill="E3ECF0"/>
          </w:tcPr>
          <w:p>
            <w:pPr>
              <w:jc w:val="right"/>
              <w:ind w:right="132"/>
              <w:spacing w:after="0" w:line="149" w:lineRule="exact"/>
              <w:rPr>
                <w:sz w:val="20"/>
                <w:szCs w:val="20"/>
                <w:color w:val="auto"/>
              </w:rPr>
            </w:pPr>
            <w:r>
              <w:rPr>
                <w:rFonts w:ascii="Arial" w:cs="Arial" w:eastAsia="Arial" w:hAnsi="Arial"/>
                <w:sz w:val="14"/>
                <w:szCs w:val="14"/>
                <w:color w:val="auto"/>
              </w:rPr>
              <w:t>79,976</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shd w:val="clear" w:color="auto" w:fill="E3ECF0"/>
          </w:tcPr>
          <w:p>
            <w:pPr>
              <w:spacing w:after="0"/>
              <w:rPr>
                <w:sz w:val="12"/>
                <w:szCs w:val="12"/>
                <w:color w:val="auto"/>
              </w:rPr>
            </w:pPr>
          </w:p>
        </w:tc>
        <w:tc>
          <w:tcPr>
            <w:tcW w:w="100" w:type="dxa"/>
            <w:vAlign w:val="bottom"/>
            <w:tcBorders>
              <w:left w:val="single" w:sz="8" w:color="47829E"/>
            </w:tcBorders>
            <w:shd w:val="clear" w:color="auto" w:fill="E3ECF0"/>
          </w:tcPr>
          <w:p>
            <w:pPr>
              <w:spacing w:after="0"/>
              <w:rPr>
                <w:sz w:val="12"/>
                <w:szCs w:val="12"/>
                <w:color w:val="auto"/>
              </w:rPr>
            </w:pPr>
          </w:p>
        </w:tc>
        <w:tc>
          <w:tcPr>
            <w:tcW w:w="4460" w:type="dxa"/>
            <w:vAlign w:val="bottom"/>
            <w:tcBorders>
              <w:right w:val="single" w:sz="8" w:color="47829E"/>
            </w:tcBorders>
            <w:shd w:val="clear" w:color="auto" w:fill="E3ECF0"/>
          </w:tcPr>
          <w:p>
            <w:pPr>
              <w:spacing w:after="0" w:line="149"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7"/>
                <w:szCs w:val="17"/>
                <w:color w:val="auto"/>
                <w:vertAlign w:val="superscript"/>
              </w:rPr>
              <w:t>5</w:t>
            </w:r>
          </w:p>
        </w:tc>
        <w:tc>
          <w:tcPr>
            <w:tcW w:w="100" w:type="dxa"/>
            <w:vAlign w:val="bottom"/>
            <w:shd w:val="clear" w:color="auto" w:fill="E3ECF0"/>
          </w:tcPr>
          <w:p>
            <w:pPr>
              <w:spacing w:after="0"/>
              <w:rPr>
                <w:sz w:val="12"/>
                <w:szCs w:val="12"/>
                <w:color w:val="auto"/>
              </w:rPr>
            </w:pPr>
          </w:p>
        </w:tc>
        <w:tc>
          <w:tcPr>
            <w:tcW w:w="1000" w:type="dxa"/>
            <w:vAlign w:val="bottom"/>
            <w:tcBorders>
              <w:right w:val="single" w:sz="8" w:color="47829E"/>
            </w:tcBorders>
            <w:shd w:val="clear" w:color="auto" w:fill="E3ECF0"/>
          </w:tcPr>
          <w:p>
            <w:pPr>
              <w:jc w:val="right"/>
              <w:ind w:right="72"/>
              <w:spacing w:after="0" w:line="149" w:lineRule="exact"/>
              <w:rPr>
                <w:sz w:val="20"/>
                <w:szCs w:val="20"/>
                <w:color w:val="auto"/>
              </w:rPr>
            </w:pPr>
            <w:r>
              <w:rPr>
                <w:rFonts w:ascii="Arial" w:cs="Arial" w:eastAsia="Arial" w:hAnsi="Arial"/>
                <w:sz w:val="14"/>
                <w:szCs w:val="14"/>
                <w:color w:val="auto"/>
              </w:rPr>
              <w:t>19,502</w:t>
            </w:r>
          </w:p>
        </w:tc>
        <w:tc>
          <w:tcPr>
            <w:tcW w:w="1160" w:type="dxa"/>
            <w:vAlign w:val="bottom"/>
            <w:tcBorders>
              <w:right w:val="single" w:sz="8" w:color="47829E"/>
            </w:tcBorders>
            <w:shd w:val="clear" w:color="auto" w:fill="E3ECF0"/>
          </w:tcPr>
          <w:p>
            <w:pPr>
              <w:jc w:val="right"/>
              <w:ind w:right="72"/>
              <w:spacing w:after="0" w:line="149" w:lineRule="exact"/>
              <w:rPr>
                <w:sz w:val="20"/>
                <w:szCs w:val="20"/>
                <w:color w:val="auto"/>
              </w:rPr>
            </w:pPr>
            <w:r>
              <w:rPr>
                <w:rFonts w:ascii="Arial" w:cs="Arial" w:eastAsia="Arial" w:hAnsi="Arial"/>
                <w:sz w:val="14"/>
                <w:szCs w:val="14"/>
                <w:color w:val="auto"/>
              </w:rPr>
              <w:t>10,864</w:t>
            </w:r>
          </w:p>
        </w:tc>
        <w:tc>
          <w:tcPr>
            <w:tcW w:w="88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19,502</w:t>
            </w:r>
          </w:p>
        </w:tc>
        <w:tc>
          <w:tcPr>
            <w:tcW w:w="90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19,502</w:t>
            </w:r>
          </w:p>
        </w:tc>
        <w:tc>
          <w:tcPr>
            <w:tcW w:w="1000" w:type="dxa"/>
            <w:vAlign w:val="bottom"/>
            <w:tcBorders>
              <w:right w:val="single" w:sz="8" w:color="47829E"/>
            </w:tcBorders>
            <w:shd w:val="clear" w:color="auto" w:fill="E3ECF0"/>
          </w:tcPr>
          <w:p>
            <w:pPr>
              <w:jc w:val="right"/>
              <w:ind w:right="132"/>
              <w:spacing w:after="0" w:line="149" w:lineRule="exact"/>
              <w:rPr>
                <w:sz w:val="20"/>
                <w:szCs w:val="20"/>
                <w:color w:val="auto"/>
              </w:rPr>
            </w:pPr>
            <w:r>
              <w:rPr>
                <w:rFonts w:ascii="Arial" w:cs="Arial" w:eastAsia="Arial" w:hAnsi="Arial"/>
                <w:sz w:val="14"/>
                <w:szCs w:val="14"/>
                <w:color w:val="auto"/>
              </w:rPr>
              <w:t>19,502</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shd w:val="clear" w:color="auto" w:fill="E3ECF0"/>
          </w:tcPr>
          <w:p>
            <w:pPr>
              <w:ind w:left="100"/>
              <w:spacing w:after="0" w:line="149" w:lineRule="exact"/>
              <w:rPr>
                <w:sz w:val="20"/>
                <w:szCs w:val="20"/>
                <w:color w:val="auto"/>
              </w:rPr>
            </w:pPr>
            <w:r>
              <w:rPr>
                <w:rFonts w:ascii="Arial" w:cs="Arial" w:eastAsia="Arial" w:hAnsi="Arial"/>
                <w:sz w:val="14"/>
                <w:szCs w:val="14"/>
                <w:b w:val="1"/>
                <w:bCs w:val="1"/>
                <w:color w:val="auto"/>
              </w:rPr>
              <w:t>Donald A. McCunniff</w:t>
            </w:r>
          </w:p>
        </w:tc>
        <w:tc>
          <w:tcPr>
            <w:tcW w:w="100" w:type="dxa"/>
            <w:vAlign w:val="bottom"/>
            <w:tcBorders>
              <w:left w:val="single" w:sz="8" w:color="47829E"/>
            </w:tcBorders>
            <w:shd w:val="clear" w:color="auto" w:fill="E3ECF0"/>
          </w:tcPr>
          <w:p>
            <w:pPr>
              <w:spacing w:after="0"/>
              <w:rPr>
                <w:sz w:val="12"/>
                <w:szCs w:val="12"/>
                <w:color w:val="auto"/>
              </w:rPr>
            </w:pPr>
          </w:p>
        </w:tc>
        <w:tc>
          <w:tcPr>
            <w:tcW w:w="4460" w:type="dxa"/>
            <w:vAlign w:val="bottom"/>
            <w:tcBorders>
              <w:right w:val="single" w:sz="8" w:color="47829E"/>
            </w:tcBorders>
            <w:shd w:val="clear" w:color="auto" w:fill="E3ECF0"/>
          </w:tcPr>
          <w:p>
            <w:pPr>
              <w:spacing w:after="0" w:line="149" w:lineRule="exact"/>
              <w:rPr>
                <w:sz w:val="20"/>
                <w:szCs w:val="20"/>
                <w:color w:val="auto"/>
              </w:rPr>
            </w:pPr>
            <w:r>
              <w:rPr>
                <w:rFonts w:ascii="Arial" w:cs="Arial" w:eastAsia="Arial" w:hAnsi="Arial"/>
                <w:sz w:val="11"/>
                <w:szCs w:val="11"/>
                <w:color w:val="auto"/>
              </w:rPr>
              <w:t>Performance Shares</w:t>
            </w:r>
            <w:r>
              <w:rPr>
                <w:rFonts w:ascii="Arial" w:cs="Arial" w:eastAsia="Arial" w:hAnsi="Arial"/>
                <w:sz w:val="17"/>
                <w:szCs w:val="17"/>
                <w:color w:val="auto"/>
                <w:vertAlign w:val="superscript"/>
              </w:rPr>
              <w:t>6</w:t>
            </w:r>
          </w:p>
        </w:tc>
        <w:tc>
          <w:tcPr>
            <w:tcW w:w="100" w:type="dxa"/>
            <w:vAlign w:val="bottom"/>
            <w:shd w:val="clear" w:color="auto" w:fill="E3ECF0"/>
          </w:tcPr>
          <w:p>
            <w:pPr>
              <w:spacing w:after="0"/>
              <w:rPr>
                <w:sz w:val="12"/>
                <w:szCs w:val="12"/>
                <w:color w:val="auto"/>
              </w:rPr>
            </w:pPr>
          </w:p>
        </w:tc>
        <w:tc>
          <w:tcPr>
            <w:tcW w:w="1000" w:type="dxa"/>
            <w:vAlign w:val="bottom"/>
            <w:tcBorders>
              <w:right w:val="single" w:sz="8" w:color="47829E"/>
            </w:tcBorders>
            <w:shd w:val="clear" w:color="auto" w:fill="E3ECF0"/>
          </w:tcPr>
          <w:p>
            <w:pPr>
              <w:jc w:val="right"/>
              <w:ind w:right="72"/>
              <w:spacing w:after="0" w:line="149" w:lineRule="exact"/>
              <w:rPr>
                <w:sz w:val="20"/>
                <w:szCs w:val="20"/>
                <w:color w:val="auto"/>
              </w:rPr>
            </w:pPr>
            <w:r>
              <w:rPr>
                <w:rFonts w:ascii="Arial" w:cs="Arial" w:eastAsia="Arial" w:hAnsi="Arial"/>
                <w:sz w:val="14"/>
                <w:szCs w:val="14"/>
                <w:color w:val="auto"/>
              </w:rPr>
              <w:t>119,587</w:t>
            </w:r>
          </w:p>
        </w:tc>
        <w:tc>
          <w:tcPr>
            <w:tcW w:w="1160" w:type="dxa"/>
            <w:vAlign w:val="bottom"/>
            <w:tcBorders>
              <w:right w:val="single" w:sz="8" w:color="47829E"/>
            </w:tcBorders>
            <w:shd w:val="clear" w:color="auto" w:fill="E3ECF0"/>
          </w:tcPr>
          <w:p>
            <w:pPr>
              <w:spacing w:after="0"/>
              <w:rPr>
                <w:sz w:val="12"/>
                <w:szCs w:val="12"/>
                <w:color w:val="auto"/>
              </w:rPr>
            </w:pPr>
          </w:p>
        </w:tc>
        <w:tc>
          <w:tcPr>
            <w:tcW w:w="88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119,587</w:t>
            </w:r>
          </w:p>
        </w:tc>
        <w:tc>
          <w:tcPr>
            <w:tcW w:w="90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119,587</w:t>
            </w:r>
          </w:p>
        </w:tc>
        <w:tc>
          <w:tcPr>
            <w:tcW w:w="1000" w:type="dxa"/>
            <w:vAlign w:val="bottom"/>
            <w:tcBorders>
              <w:right w:val="single" w:sz="8" w:color="47829E"/>
            </w:tcBorders>
            <w:shd w:val="clear" w:color="auto" w:fill="E3ECF0"/>
          </w:tcPr>
          <w:p>
            <w:pPr>
              <w:jc w:val="right"/>
              <w:ind w:right="132"/>
              <w:spacing w:after="0" w:line="149" w:lineRule="exact"/>
              <w:rPr>
                <w:sz w:val="20"/>
                <w:szCs w:val="20"/>
                <w:color w:val="auto"/>
              </w:rPr>
            </w:pPr>
            <w:r>
              <w:rPr>
                <w:rFonts w:ascii="Arial" w:cs="Arial" w:eastAsia="Arial" w:hAnsi="Arial"/>
                <w:sz w:val="14"/>
                <w:szCs w:val="14"/>
                <w:color w:val="auto"/>
              </w:rPr>
              <w:t>119,587</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shd w:val="clear" w:color="auto" w:fill="E3ECF0"/>
          </w:tcPr>
          <w:p>
            <w:pPr>
              <w:spacing w:after="0"/>
              <w:rPr>
                <w:sz w:val="12"/>
                <w:szCs w:val="12"/>
                <w:color w:val="auto"/>
              </w:rPr>
            </w:pPr>
          </w:p>
        </w:tc>
        <w:tc>
          <w:tcPr>
            <w:tcW w:w="100" w:type="dxa"/>
            <w:vAlign w:val="bottom"/>
            <w:tcBorders>
              <w:left w:val="single" w:sz="8" w:color="47829E"/>
            </w:tcBorders>
            <w:shd w:val="clear" w:color="auto" w:fill="E3ECF0"/>
          </w:tcPr>
          <w:p>
            <w:pPr>
              <w:spacing w:after="0"/>
              <w:rPr>
                <w:sz w:val="12"/>
                <w:szCs w:val="12"/>
                <w:color w:val="auto"/>
              </w:rPr>
            </w:pPr>
          </w:p>
        </w:tc>
        <w:tc>
          <w:tcPr>
            <w:tcW w:w="4460" w:type="dxa"/>
            <w:vAlign w:val="bottom"/>
            <w:tcBorders>
              <w:right w:val="single" w:sz="8" w:color="47829E"/>
            </w:tcBorders>
            <w:shd w:val="clear" w:color="auto" w:fill="E3ECF0"/>
          </w:tcPr>
          <w:p>
            <w:pPr>
              <w:spacing w:after="0" w:line="149" w:lineRule="exact"/>
              <w:rPr>
                <w:sz w:val="20"/>
                <w:szCs w:val="20"/>
                <w:color w:val="auto"/>
              </w:rPr>
            </w:pPr>
            <w:r>
              <w:rPr>
                <w:rFonts w:ascii="Arial" w:cs="Arial" w:eastAsia="Arial" w:hAnsi="Arial"/>
                <w:sz w:val="11"/>
                <w:szCs w:val="11"/>
                <w:color w:val="auto"/>
              </w:rPr>
              <w:t>Retirement Plans</w:t>
            </w:r>
            <w:r>
              <w:rPr>
                <w:rFonts w:ascii="Arial" w:cs="Arial" w:eastAsia="Arial" w:hAnsi="Arial"/>
                <w:sz w:val="17"/>
                <w:szCs w:val="17"/>
                <w:color w:val="auto"/>
                <w:vertAlign w:val="superscript"/>
              </w:rPr>
              <w:t>7</w:t>
            </w:r>
          </w:p>
        </w:tc>
        <w:tc>
          <w:tcPr>
            <w:tcW w:w="100" w:type="dxa"/>
            <w:vAlign w:val="bottom"/>
            <w:shd w:val="clear" w:color="auto" w:fill="E3ECF0"/>
          </w:tcPr>
          <w:p>
            <w:pPr>
              <w:spacing w:after="0"/>
              <w:rPr>
                <w:sz w:val="12"/>
                <w:szCs w:val="12"/>
                <w:color w:val="auto"/>
              </w:rPr>
            </w:pPr>
          </w:p>
        </w:tc>
        <w:tc>
          <w:tcPr>
            <w:tcW w:w="1000" w:type="dxa"/>
            <w:vAlign w:val="bottom"/>
            <w:tcBorders>
              <w:right w:val="single" w:sz="8" w:color="47829E"/>
            </w:tcBorders>
            <w:shd w:val="clear" w:color="auto" w:fill="E3ECF0"/>
          </w:tcPr>
          <w:p>
            <w:pPr>
              <w:spacing w:after="0"/>
              <w:rPr>
                <w:sz w:val="12"/>
                <w:szCs w:val="12"/>
                <w:color w:val="auto"/>
              </w:rPr>
            </w:pPr>
          </w:p>
        </w:tc>
        <w:tc>
          <w:tcPr>
            <w:tcW w:w="1160" w:type="dxa"/>
            <w:vAlign w:val="bottom"/>
            <w:tcBorders>
              <w:right w:val="single" w:sz="8" w:color="47829E"/>
            </w:tcBorders>
            <w:shd w:val="clear" w:color="auto" w:fill="E3ECF0"/>
          </w:tcPr>
          <w:p>
            <w:pPr>
              <w:spacing w:after="0"/>
              <w:rPr>
                <w:sz w:val="12"/>
                <w:szCs w:val="12"/>
                <w:color w:val="auto"/>
              </w:rPr>
            </w:pPr>
          </w:p>
        </w:tc>
        <w:tc>
          <w:tcPr>
            <w:tcW w:w="880" w:type="dxa"/>
            <w:vAlign w:val="bottom"/>
            <w:tcBorders>
              <w:right w:val="single" w:sz="8" w:color="47829E"/>
            </w:tcBorders>
            <w:shd w:val="clear" w:color="auto" w:fill="E3ECF0"/>
          </w:tcPr>
          <w:p>
            <w:pPr>
              <w:jc w:val="right"/>
              <w:ind w:right="52"/>
              <w:spacing w:after="0" w:line="149" w:lineRule="exact"/>
              <w:rPr>
                <w:sz w:val="20"/>
                <w:szCs w:val="20"/>
                <w:color w:val="auto"/>
              </w:rPr>
            </w:pPr>
            <w:r>
              <w:rPr>
                <w:rFonts w:ascii="Arial" w:cs="Arial" w:eastAsia="Arial" w:hAnsi="Arial"/>
                <w:sz w:val="14"/>
                <w:szCs w:val="14"/>
                <w:color w:val="auto"/>
              </w:rPr>
              <w:t>421,258</w:t>
            </w:r>
          </w:p>
        </w:tc>
        <w:tc>
          <w:tcPr>
            <w:tcW w:w="900" w:type="dxa"/>
            <w:vAlign w:val="bottom"/>
            <w:tcBorders>
              <w:right w:val="single" w:sz="8" w:color="47829E"/>
            </w:tcBorders>
            <w:shd w:val="clear" w:color="auto" w:fill="E3ECF0"/>
          </w:tcPr>
          <w:p>
            <w:pPr>
              <w:spacing w:after="0"/>
              <w:rPr>
                <w:sz w:val="12"/>
                <w:szCs w:val="12"/>
                <w:color w:val="auto"/>
              </w:rPr>
            </w:pPr>
          </w:p>
        </w:tc>
        <w:tc>
          <w:tcPr>
            <w:tcW w:w="1000" w:type="dxa"/>
            <w:vAlign w:val="bottom"/>
            <w:tcBorders>
              <w:right w:val="single" w:sz="8" w:color="47829E"/>
            </w:tcBorders>
            <w:shd w:val="clear" w:color="auto" w:fill="E3ECF0"/>
          </w:tcPr>
          <w:p>
            <w:pPr>
              <w:jc w:val="right"/>
              <w:ind w:right="132"/>
              <w:spacing w:after="0" w:line="149" w:lineRule="exact"/>
              <w:rPr>
                <w:sz w:val="20"/>
                <w:szCs w:val="20"/>
                <w:color w:val="auto"/>
              </w:rPr>
            </w:pPr>
            <w:r>
              <w:rPr>
                <w:rFonts w:ascii="Arial" w:cs="Arial" w:eastAsia="Arial" w:hAnsi="Arial"/>
                <w:sz w:val="14"/>
                <w:szCs w:val="14"/>
                <w:color w:val="auto"/>
              </w:rPr>
              <w:t>805,830</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shd w:val="clear" w:color="auto" w:fill="E3ECF0"/>
          </w:tcPr>
          <w:p>
            <w:pPr>
              <w:spacing w:after="0"/>
              <w:rPr>
                <w:sz w:val="12"/>
                <w:szCs w:val="12"/>
                <w:color w:val="auto"/>
              </w:rPr>
            </w:pPr>
          </w:p>
        </w:tc>
        <w:tc>
          <w:tcPr>
            <w:tcW w:w="100" w:type="dxa"/>
            <w:vAlign w:val="bottom"/>
            <w:tcBorders>
              <w:left w:val="single" w:sz="8" w:color="47829E"/>
            </w:tcBorders>
            <w:shd w:val="clear" w:color="auto" w:fill="E3ECF0"/>
          </w:tcPr>
          <w:p>
            <w:pPr>
              <w:spacing w:after="0"/>
              <w:rPr>
                <w:sz w:val="12"/>
                <w:szCs w:val="12"/>
                <w:color w:val="auto"/>
              </w:rPr>
            </w:pPr>
          </w:p>
        </w:tc>
        <w:tc>
          <w:tcPr>
            <w:tcW w:w="4460" w:type="dxa"/>
            <w:vAlign w:val="bottom"/>
            <w:tcBorders>
              <w:right w:val="single" w:sz="8" w:color="47829E"/>
            </w:tcBorders>
            <w:shd w:val="clear" w:color="auto" w:fill="E3ECF0"/>
          </w:tcPr>
          <w:p>
            <w:pPr>
              <w:spacing w:after="0" w:line="149"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7"/>
                <w:szCs w:val="17"/>
                <w:color w:val="auto"/>
                <w:vertAlign w:val="superscript"/>
              </w:rPr>
              <w:t>8</w:t>
            </w:r>
          </w:p>
        </w:tc>
        <w:tc>
          <w:tcPr>
            <w:tcW w:w="100" w:type="dxa"/>
            <w:vAlign w:val="bottom"/>
            <w:shd w:val="clear" w:color="auto" w:fill="E3ECF0"/>
          </w:tcPr>
          <w:p>
            <w:pPr>
              <w:spacing w:after="0"/>
              <w:rPr>
                <w:sz w:val="12"/>
                <w:szCs w:val="12"/>
                <w:color w:val="auto"/>
              </w:rPr>
            </w:pPr>
          </w:p>
        </w:tc>
        <w:tc>
          <w:tcPr>
            <w:tcW w:w="1000" w:type="dxa"/>
            <w:vAlign w:val="bottom"/>
            <w:tcBorders>
              <w:right w:val="single" w:sz="8" w:color="47829E"/>
            </w:tcBorders>
            <w:shd w:val="clear" w:color="auto" w:fill="E3ECF0"/>
          </w:tcPr>
          <w:p>
            <w:pPr>
              <w:spacing w:after="0"/>
              <w:rPr>
                <w:sz w:val="12"/>
                <w:szCs w:val="12"/>
                <w:color w:val="auto"/>
              </w:rPr>
            </w:pPr>
          </w:p>
        </w:tc>
        <w:tc>
          <w:tcPr>
            <w:tcW w:w="1160" w:type="dxa"/>
            <w:vAlign w:val="bottom"/>
            <w:tcBorders>
              <w:right w:val="single" w:sz="8" w:color="47829E"/>
            </w:tcBorders>
            <w:shd w:val="clear" w:color="auto" w:fill="E3ECF0"/>
          </w:tcPr>
          <w:p>
            <w:pPr>
              <w:spacing w:after="0"/>
              <w:rPr>
                <w:sz w:val="12"/>
                <w:szCs w:val="12"/>
                <w:color w:val="auto"/>
              </w:rPr>
            </w:pPr>
          </w:p>
        </w:tc>
        <w:tc>
          <w:tcPr>
            <w:tcW w:w="880" w:type="dxa"/>
            <w:vAlign w:val="bottom"/>
            <w:tcBorders>
              <w:right w:val="single" w:sz="8" w:color="47829E"/>
            </w:tcBorders>
            <w:shd w:val="clear" w:color="auto" w:fill="E3ECF0"/>
          </w:tcPr>
          <w:p>
            <w:pPr>
              <w:spacing w:after="0"/>
              <w:rPr>
                <w:sz w:val="12"/>
                <w:szCs w:val="12"/>
                <w:color w:val="auto"/>
              </w:rPr>
            </w:pPr>
          </w:p>
        </w:tc>
        <w:tc>
          <w:tcPr>
            <w:tcW w:w="900" w:type="dxa"/>
            <w:vAlign w:val="bottom"/>
            <w:tcBorders>
              <w:right w:val="single" w:sz="8" w:color="47829E"/>
            </w:tcBorders>
            <w:shd w:val="clear" w:color="auto" w:fill="E3ECF0"/>
          </w:tcPr>
          <w:p>
            <w:pPr>
              <w:spacing w:after="0"/>
              <w:rPr>
                <w:sz w:val="12"/>
                <w:szCs w:val="12"/>
                <w:color w:val="auto"/>
              </w:rPr>
            </w:pPr>
          </w:p>
        </w:tc>
        <w:tc>
          <w:tcPr>
            <w:tcW w:w="1000" w:type="dxa"/>
            <w:vAlign w:val="bottom"/>
            <w:tcBorders>
              <w:right w:val="single" w:sz="8" w:color="47829E"/>
            </w:tcBorders>
            <w:shd w:val="clear" w:color="auto" w:fill="E3ECF0"/>
          </w:tcPr>
          <w:p>
            <w:pPr>
              <w:jc w:val="right"/>
              <w:ind w:right="132"/>
              <w:spacing w:after="0" w:line="149" w:lineRule="exact"/>
              <w:rPr>
                <w:sz w:val="20"/>
                <w:szCs w:val="20"/>
                <w:color w:val="auto"/>
              </w:rPr>
            </w:pPr>
            <w:r>
              <w:rPr>
                <w:rFonts w:ascii="Arial" w:cs="Arial" w:eastAsia="Arial" w:hAnsi="Arial"/>
                <w:sz w:val="14"/>
                <w:szCs w:val="14"/>
                <w:color w:val="auto"/>
              </w:rPr>
              <w:t>30,434</w:t>
            </w:r>
          </w:p>
        </w:tc>
        <w:tc>
          <w:tcPr>
            <w:tcW w:w="0" w:type="dxa"/>
            <w:vAlign w:val="bottom"/>
          </w:tcPr>
          <w:p>
            <w:pPr>
              <w:spacing w:after="0"/>
              <w:rPr>
                <w:sz w:val="1"/>
                <w:szCs w:val="1"/>
                <w:color w:val="auto"/>
              </w:rPr>
            </w:pPr>
          </w:p>
        </w:tc>
      </w:tr>
      <w:tr>
        <w:trPr>
          <w:trHeight w:val="175"/>
        </w:trPr>
        <w:tc>
          <w:tcPr>
            <w:tcW w:w="20" w:type="dxa"/>
            <w:vAlign w:val="bottom"/>
            <w:shd w:val="clear" w:color="auto" w:fill="47829E"/>
          </w:tcPr>
          <w:p>
            <w:pPr>
              <w:spacing w:after="0"/>
              <w:rPr>
                <w:sz w:val="15"/>
                <w:szCs w:val="15"/>
                <w:color w:val="auto"/>
              </w:rPr>
            </w:pPr>
          </w:p>
        </w:tc>
        <w:tc>
          <w:tcPr>
            <w:tcW w:w="1820" w:type="dxa"/>
            <w:vAlign w:val="bottom"/>
            <w:shd w:val="clear" w:color="auto" w:fill="E3ECF0"/>
          </w:tcPr>
          <w:p>
            <w:pPr>
              <w:spacing w:after="0"/>
              <w:rPr>
                <w:sz w:val="15"/>
                <w:szCs w:val="15"/>
                <w:color w:val="auto"/>
              </w:rPr>
            </w:pPr>
          </w:p>
        </w:tc>
        <w:tc>
          <w:tcPr>
            <w:tcW w:w="100" w:type="dxa"/>
            <w:vAlign w:val="bottom"/>
            <w:tcBorders>
              <w:left w:val="single" w:sz="8" w:color="47829E"/>
            </w:tcBorders>
            <w:shd w:val="clear" w:color="auto" w:fill="E3ECF0"/>
          </w:tcPr>
          <w:p>
            <w:pPr>
              <w:spacing w:after="0"/>
              <w:rPr>
                <w:sz w:val="15"/>
                <w:szCs w:val="15"/>
                <w:color w:val="auto"/>
              </w:rPr>
            </w:pPr>
          </w:p>
        </w:tc>
        <w:tc>
          <w:tcPr>
            <w:tcW w:w="4460" w:type="dxa"/>
            <w:vAlign w:val="bottom"/>
            <w:tcBorders>
              <w:right w:val="single" w:sz="8" w:color="47829E"/>
            </w:tcBorders>
            <w:shd w:val="clear" w:color="auto" w:fill="E3ECF0"/>
          </w:tcPr>
          <w:p>
            <w:pPr>
              <w:spacing w:after="0" w:line="175" w:lineRule="exact"/>
              <w:rPr>
                <w:sz w:val="20"/>
                <w:szCs w:val="20"/>
                <w:color w:val="auto"/>
              </w:rPr>
            </w:pPr>
            <w:r>
              <w:rPr>
                <w:rFonts w:ascii="Arial" w:cs="Arial" w:eastAsia="Arial" w:hAnsi="Arial"/>
                <w:sz w:val="13"/>
                <w:szCs w:val="13"/>
                <w:color w:val="auto"/>
              </w:rPr>
              <w:t>Retiree Medical Benefits</w:t>
            </w:r>
            <w:r>
              <w:rPr>
                <w:rFonts w:ascii="Arial" w:cs="Arial" w:eastAsia="Arial" w:hAnsi="Arial"/>
                <w:sz w:val="20"/>
                <w:szCs w:val="20"/>
                <w:color w:val="auto"/>
                <w:vertAlign w:val="superscript"/>
              </w:rPr>
              <w:t>9</w:t>
            </w:r>
          </w:p>
        </w:tc>
        <w:tc>
          <w:tcPr>
            <w:tcW w:w="100" w:type="dxa"/>
            <w:vAlign w:val="bottom"/>
            <w:shd w:val="clear" w:color="auto" w:fill="E3ECF0"/>
          </w:tcPr>
          <w:p>
            <w:pPr>
              <w:spacing w:after="0"/>
              <w:rPr>
                <w:sz w:val="15"/>
                <w:szCs w:val="15"/>
                <w:color w:val="auto"/>
              </w:rPr>
            </w:pPr>
          </w:p>
        </w:tc>
        <w:tc>
          <w:tcPr>
            <w:tcW w:w="1000" w:type="dxa"/>
            <w:vAlign w:val="bottom"/>
            <w:tcBorders>
              <w:right w:val="single" w:sz="8" w:color="47829E"/>
            </w:tcBorders>
            <w:shd w:val="clear" w:color="auto" w:fill="E3ECF0"/>
          </w:tcPr>
          <w:p>
            <w:pPr>
              <w:spacing w:after="0"/>
              <w:rPr>
                <w:sz w:val="15"/>
                <w:szCs w:val="15"/>
                <w:color w:val="auto"/>
              </w:rPr>
            </w:pPr>
          </w:p>
        </w:tc>
        <w:tc>
          <w:tcPr>
            <w:tcW w:w="1160" w:type="dxa"/>
            <w:vAlign w:val="bottom"/>
            <w:tcBorders>
              <w:right w:val="single" w:sz="8" w:color="47829E"/>
            </w:tcBorders>
            <w:shd w:val="clear" w:color="auto" w:fill="E3ECF0"/>
          </w:tcPr>
          <w:p>
            <w:pPr>
              <w:spacing w:after="0"/>
              <w:rPr>
                <w:sz w:val="15"/>
                <w:szCs w:val="15"/>
                <w:color w:val="auto"/>
              </w:rPr>
            </w:pPr>
          </w:p>
        </w:tc>
        <w:tc>
          <w:tcPr>
            <w:tcW w:w="880" w:type="dxa"/>
            <w:vAlign w:val="bottom"/>
            <w:tcBorders>
              <w:right w:val="single" w:sz="8" w:color="47829E"/>
            </w:tcBorders>
            <w:shd w:val="clear" w:color="auto" w:fill="E3ECF0"/>
          </w:tcPr>
          <w:p>
            <w:pPr>
              <w:spacing w:after="0"/>
              <w:rPr>
                <w:sz w:val="15"/>
                <w:szCs w:val="15"/>
                <w:color w:val="auto"/>
              </w:rPr>
            </w:pPr>
          </w:p>
        </w:tc>
        <w:tc>
          <w:tcPr>
            <w:tcW w:w="900" w:type="dxa"/>
            <w:vAlign w:val="bottom"/>
            <w:tcBorders>
              <w:right w:val="single" w:sz="8" w:color="47829E"/>
            </w:tcBorders>
            <w:shd w:val="clear" w:color="auto" w:fill="E3ECF0"/>
          </w:tcPr>
          <w:p>
            <w:pPr>
              <w:spacing w:after="0"/>
              <w:rPr>
                <w:sz w:val="15"/>
                <w:szCs w:val="15"/>
                <w:color w:val="auto"/>
              </w:rPr>
            </w:pPr>
          </w:p>
        </w:tc>
        <w:tc>
          <w:tcPr>
            <w:tcW w:w="1000" w:type="dxa"/>
            <w:vAlign w:val="bottom"/>
            <w:tcBorders>
              <w:right w:val="single" w:sz="8" w:color="47829E"/>
            </w:tcBorders>
            <w:shd w:val="clear" w:color="auto" w:fill="E3ECF0"/>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shd w:val="clear" w:color="auto" w:fill="E3ECF0"/>
          </w:tcPr>
          <w:p>
            <w:pPr>
              <w:spacing w:after="0"/>
              <w:rPr>
                <w:sz w:val="12"/>
                <w:szCs w:val="12"/>
                <w:color w:val="auto"/>
              </w:rPr>
            </w:pPr>
          </w:p>
        </w:tc>
        <w:tc>
          <w:tcPr>
            <w:tcW w:w="100" w:type="dxa"/>
            <w:vAlign w:val="bottom"/>
            <w:tcBorders>
              <w:left w:val="single" w:sz="8" w:color="47829E"/>
            </w:tcBorders>
            <w:shd w:val="clear" w:color="auto" w:fill="E3ECF0"/>
          </w:tcPr>
          <w:p>
            <w:pPr>
              <w:spacing w:after="0"/>
              <w:rPr>
                <w:sz w:val="12"/>
                <w:szCs w:val="12"/>
                <w:color w:val="auto"/>
              </w:rPr>
            </w:pPr>
          </w:p>
        </w:tc>
        <w:tc>
          <w:tcPr>
            <w:tcW w:w="4460" w:type="dxa"/>
            <w:vAlign w:val="bottom"/>
            <w:tcBorders>
              <w:right w:val="single" w:sz="8" w:color="47829E"/>
            </w:tcBorders>
            <w:shd w:val="clear" w:color="auto" w:fill="E3ECF0"/>
          </w:tcPr>
          <w:p>
            <w:pPr>
              <w:spacing w:after="0" w:line="149" w:lineRule="exact"/>
              <w:rPr>
                <w:sz w:val="20"/>
                <w:szCs w:val="20"/>
                <w:color w:val="auto"/>
              </w:rPr>
            </w:pPr>
            <w:r>
              <w:rPr>
                <w:rFonts w:ascii="Arial" w:cs="Arial" w:eastAsia="Arial" w:hAnsi="Arial"/>
                <w:sz w:val="14"/>
                <w:szCs w:val="14"/>
                <w:color w:val="auto"/>
              </w:rPr>
              <w:t>Excise Tax &amp; Gross-up</w:t>
            </w:r>
          </w:p>
        </w:tc>
        <w:tc>
          <w:tcPr>
            <w:tcW w:w="100" w:type="dxa"/>
            <w:vAlign w:val="bottom"/>
            <w:shd w:val="clear" w:color="auto" w:fill="E3ECF0"/>
          </w:tcPr>
          <w:p>
            <w:pPr>
              <w:spacing w:after="0"/>
              <w:rPr>
                <w:sz w:val="12"/>
                <w:szCs w:val="12"/>
                <w:color w:val="auto"/>
              </w:rPr>
            </w:pPr>
          </w:p>
        </w:tc>
        <w:tc>
          <w:tcPr>
            <w:tcW w:w="1000" w:type="dxa"/>
            <w:vAlign w:val="bottom"/>
            <w:tcBorders>
              <w:right w:val="single" w:sz="8" w:color="47829E"/>
            </w:tcBorders>
            <w:shd w:val="clear" w:color="auto" w:fill="E3ECF0"/>
          </w:tcPr>
          <w:p>
            <w:pPr>
              <w:spacing w:after="0"/>
              <w:rPr>
                <w:sz w:val="12"/>
                <w:szCs w:val="12"/>
                <w:color w:val="auto"/>
              </w:rPr>
            </w:pPr>
          </w:p>
        </w:tc>
        <w:tc>
          <w:tcPr>
            <w:tcW w:w="1160" w:type="dxa"/>
            <w:vAlign w:val="bottom"/>
            <w:tcBorders>
              <w:right w:val="single" w:sz="8" w:color="47829E"/>
            </w:tcBorders>
            <w:shd w:val="clear" w:color="auto" w:fill="E3ECF0"/>
          </w:tcPr>
          <w:p>
            <w:pPr>
              <w:spacing w:after="0"/>
              <w:rPr>
                <w:sz w:val="12"/>
                <w:szCs w:val="12"/>
                <w:color w:val="auto"/>
              </w:rPr>
            </w:pPr>
          </w:p>
        </w:tc>
        <w:tc>
          <w:tcPr>
            <w:tcW w:w="880" w:type="dxa"/>
            <w:vAlign w:val="bottom"/>
            <w:tcBorders>
              <w:right w:val="single" w:sz="8" w:color="47829E"/>
            </w:tcBorders>
            <w:shd w:val="clear" w:color="auto" w:fill="E3ECF0"/>
          </w:tcPr>
          <w:p>
            <w:pPr>
              <w:spacing w:after="0"/>
              <w:rPr>
                <w:sz w:val="12"/>
                <w:szCs w:val="12"/>
                <w:color w:val="auto"/>
              </w:rPr>
            </w:pPr>
          </w:p>
        </w:tc>
        <w:tc>
          <w:tcPr>
            <w:tcW w:w="900" w:type="dxa"/>
            <w:vAlign w:val="bottom"/>
            <w:tcBorders>
              <w:right w:val="single" w:sz="8" w:color="47829E"/>
            </w:tcBorders>
            <w:shd w:val="clear" w:color="auto" w:fill="E3ECF0"/>
          </w:tcPr>
          <w:p>
            <w:pPr>
              <w:spacing w:after="0"/>
              <w:rPr>
                <w:sz w:val="12"/>
                <w:szCs w:val="12"/>
                <w:color w:val="auto"/>
              </w:rPr>
            </w:pPr>
          </w:p>
        </w:tc>
        <w:tc>
          <w:tcPr>
            <w:tcW w:w="1000" w:type="dxa"/>
            <w:vAlign w:val="bottom"/>
            <w:tcBorders>
              <w:right w:val="single" w:sz="8" w:color="47829E"/>
            </w:tcBorders>
            <w:shd w:val="clear" w:color="auto" w:fill="E3ECF0"/>
          </w:tcPr>
          <w:p>
            <w:pPr>
              <w:jc w:val="right"/>
              <w:ind w:right="132"/>
              <w:spacing w:after="0" w:line="149" w:lineRule="exact"/>
              <w:rPr>
                <w:sz w:val="20"/>
                <w:szCs w:val="20"/>
                <w:color w:val="auto"/>
              </w:rPr>
            </w:pPr>
            <w:r>
              <w:rPr>
                <w:rFonts w:ascii="Arial" w:cs="Arial" w:eastAsia="Arial" w:hAnsi="Arial"/>
                <w:sz w:val="14"/>
                <w:szCs w:val="14"/>
                <w:color w:val="auto"/>
              </w:rPr>
              <w:t>1,864,225</w:t>
            </w:r>
          </w:p>
        </w:tc>
        <w:tc>
          <w:tcPr>
            <w:tcW w:w="0" w:type="dxa"/>
            <w:vAlign w:val="bottom"/>
          </w:tcPr>
          <w:p>
            <w:pPr>
              <w:spacing w:after="0"/>
              <w:rPr>
                <w:sz w:val="1"/>
                <w:szCs w:val="1"/>
                <w:color w:val="auto"/>
              </w:rPr>
            </w:pPr>
          </w:p>
        </w:tc>
      </w:tr>
      <w:tr>
        <w:trPr>
          <w:trHeight w:val="122"/>
        </w:trPr>
        <w:tc>
          <w:tcPr>
            <w:tcW w:w="20" w:type="dxa"/>
            <w:vAlign w:val="bottom"/>
            <w:shd w:val="clear" w:color="auto" w:fill="47829E"/>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Borders>
              <w:left w:val="single" w:sz="8" w:color="47829E"/>
            </w:tcBorders>
          </w:tcPr>
          <w:p>
            <w:pPr>
              <w:spacing w:after="0"/>
              <w:rPr>
                <w:sz w:val="10"/>
                <w:szCs w:val="10"/>
                <w:color w:val="auto"/>
              </w:rPr>
            </w:pPr>
          </w:p>
        </w:tc>
        <w:tc>
          <w:tcPr>
            <w:tcW w:w="4460" w:type="dxa"/>
            <w:vAlign w:val="bottom"/>
            <w:tcBorders>
              <w:right w:val="single" w:sz="8" w:color="47829E"/>
            </w:tcBorders>
          </w:tcPr>
          <w:p>
            <w:pPr>
              <w:spacing w:after="0" w:line="122" w:lineRule="exact"/>
              <w:rPr>
                <w:sz w:val="20"/>
                <w:szCs w:val="20"/>
                <w:color w:val="auto"/>
              </w:rPr>
            </w:pPr>
            <w:r>
              <w:rPr>
                <w:rFonts w:ascii="Arial" w:cs="Arial" w:eastAsia="Arial" w:hAnsi="Arial"/>
                <w:sz w:val="10"/>
                <w:szCs w:val="10"/>
                <w:color w:val="auto"/>
              </w:rPr>
              <w:t>Cash Severance</w:t>
            </w:r>
            <w:r>
              <w:rPr>
                <w:rFonts w:ascii="Arial" w:cs="Arial" w:eastAsia="Arial" w:hAnsi="Arial"/>
                <w:sz w:val="14"/>
                <w:szCs w:val="14"/>
                <w:color w:val="auto"/>
                <w:vertAlign w:val="superscript"/>
              </w:rPr>
              <w:t>2</w:t>
            </w:r>
          </w:p>
        </w:tc>
        <w:tc>
          <w:tcPr>
            <w:tcW w:w="100" w:type="dxa"/>
            <w:vAlign w:val="bottom"/>
          </w:tcPr>
          <w:p>
            <w:pPr>
              <w:spacing w:after="0"/>
              <w:rPr>
                <w:sz w:val="10"/>
                <w:szCs w:val="10"/>
                <w:color w:val="auto"/>
              </w:rPr>
            </w:pPr>
          </w:p>
        </w:tc>
        <w:tc>
          <w:tcPr>
            <w:tcW w:w="1000" w:type="dxa"/>
            <w:vAlign w:val="bottom"/>
            <w:tcBorders>
              <w:right w:val="single" w:sz="8" w:color="47829E"/>
            </w:tcBorders>
          </w:tcPr>
          <w:p>
            <w:pPr>
              <w:spacing w:after="0"/>
              <w:rPr>
                <w:sz w:val="10"/>
                <w:szCs w:val="10"/>
                <w:color w:val="auto"/>
              </w:rPr>
            </w:pPr>
          </w:p>
        </w:tc>
        <w:tc>
          <w:tcPr>
            <w:tcW w:w="1160" w:type="dxa"/>
            <w:vAlign w:val="bottom"/>
            <w:tcBorders>
              <w:right w:val="single" w:sz="8" w:color="47829E"/>
            </w:tcBorders>
          </w:tcPr>
          <w:p>
            <w:pPr>
              <w:spacing w:after="0"/>
              <w:rPr>
                <w:sz w:val="10"/>
                <w:szCs w:val="10"/>
                <w:color w:val="auto"/>
              </w:rPr>
            </w:pPr>
          </w:p>
        </w:tc>
        <w:tc>
          <w:tcPr>
            <w:tcW w:w="880" w:type="dxa"/>
            <w:vAlign w:val="bottom"/>
            <w:tcBorders>
              <w:right w:val="single" w:sz="8" w:color="47829E"/>
            </w:tcBorders>
          </w:tcPr>
          <w:p>
            <w:pPr>
              <w:spacing w:after="0"/>
              <w:rPr>
                <w:sz w:val="10"/>
                <w:szCs w:val="10"/>
                <w:color w:val="auto"/>
              </w:rPr>
            </w:pPr>
          </w:p>
        </w:tc>
        <w:tc>
          <w:tcPr>
            <w:tcW w:w="900" w:type="dxa"/>
            <w:vAlign w:val="bottom"/>
            <w:tcBorders>
              <w:right w:val="single" w:sz="8" w:color="47829E"/>
            </w:tcBorders>
          </w:tcPr>
          <w:p>
            <w:pPr>
              <w:spacing w:after="0"/>
              <w:rPr>
                <w:sz w:val="10"/>
                <w:szCs w:val="10"/>
                <w:color w:val="auto"/>
              </w:rPr>
            </w:pPr>
          </w:p>
        </w:tc>
        <w:tc>
          <w:tcPr>
            <w:tcW w:w="1000" w:type="dxa"/>
            <w:vAlign w:val="bottom"/>
            <w:tcBorders>
              <w:right w:val="single" w:sz="8" w:color="47829E"/>
            </w:tcBorders>
          </w:tcPr>
          <w:p>
            <w:pPr>
              <w:jc w:val="right"/>
              <w:ind w:right="132"/>
              <w:spacing w:after="0" w:line="122" w:lineRule="exact"/>
              <w:rPr>
                <w:sz w:val="20"/>
                <w:szCs w:val="20"/>
                <w:color w:val="auto"/>
              </w:rPr>
            </w:pPr>
            <w:r>
              <w:rPr>
                <w:rFonts w:ascii="Arial" w:cs="Arial" w:eastAsia="Arial" w:hAnsi="Arial"/>
                <w:sz w:val="14"/>
                <w:szCs w:val="14"/>
                <w:color w:val="auto"/>
              </w:rPr>
              <w:t>1,193,534</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spacing w:after="0"/>
              <w:rPr>
                <w:sz w:val="12"/>
                <w:szCs w:val="12"/>
                <w:color w:val="auto"/>
              </w:rPr>
            </w:pP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7"/>
                <w:szCs w:val="17"/>
                <w:color w:val="auto"/>
                <w:vertAlign w:val="superscript"/>
              </w:rPr>
              <w:t>3</w:t>
            </w:r>
          </w:p>
        </w:tc>
        <w:tc>
          <w:tcPr>
            <w:tcW w:w="1100" w:type="dxa"/>
            <w:vAlign w:val="bottom"/>
            <w:tcBorders>
              <w:right w:val="single" w:sz="8" w:color="47829E"/>
            </w:tcBorders>
            <w:gridSpan w:val="2"/>
          </w:tcPr>
          <w:p>
            <w:pPr>
              <w:jc w:val="right"/>
              <w:ind w:right="72"/>
              <w:spacing w:after="0" w:line="149" w:lineRule="exact"/>
              <w:rPr>
                <w:sz w:val="20"/>
                <w:szCs w:val="20"/>
                <w:color w:val="auto"/>
              </w:rPr>
            </w:pPr>
            <w:r>
              <w:rPr>
                <w:rFonts w:ascii="Arial" w:cs="Arial" w:eastAsia="Arial" w:hAnsi="Arial"/>
                <w:sz w:val="14"/>
                <w:szCs w:val="14"/>
                <w:color w:val="auto"/>
              </w:rPr>
              <w:t>933,197</w:t>
            </w:r>
          </w:p>
        </w:tc>
        <w:tc>
          <w:tcPr>
            <w:tcW w:w="116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933,197</w:t>
            </w:r>
          </w:p>
        </w:tc>
        <w:tc>
          <w:tcPr>
            <w:tcW w:w="90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933,197</w:t>
            </w: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933,197</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spacing w:after="0"/>
              <w:rPr>
                <w:sz w:val="12"/>
                <w:szCs w:val="12"/>
                <w:color w:val="auto"/>
              </w:rPr>
            </w:pP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7"/>
                <w:szCs w:val="17"/>
                <w:color w:val="auto"/>
                <w:vertAlign w:val="superscript"/>
              </w:rPr>
              <w:t>4</w:t>
            </w:r>
          </w:p>
        </w:tc>
        <w:tc>
          <w:tcPr>
            <w:tcW w:w="100" w:type="dxa"/>
            <w:vAlign w:val="bottom"/>
          </w:tcPr>
          <w:p>
            <w:pPr>
              <w:spacing w:after="0"/>
              <w:rPr>
                <w:sz w:val="12"/>
                <w:szCs w:val="12"/>
                <w:color w:val="auto"/>
              </w:rPr>
            </w:pPr>
          </w:p>
        </w:tc>
        <w:tc>
          <w:tcPr>
            <w:tcW w:w="1000" w:type="dxa"/>
            <w:vAlign w:val="bottom"/>
            <w:tcBorders>
              <w:right w:val="single" w:sz="8" w:color="47829E"/>
            </w:tcBorders>
          </w:tcPr>
          <w:p>
            <w:pPr>
              <w:spacing w:after="0"/>
              <w:rPr>
                <w:sz w:val="12"/>
                <w:szCs w:val="12"/>
                <w:color w:val="auto"/>
              </w:rPr>
            </w:pPr>
          </w:p>
        </w:tc>
        <w:tc>
          <w:tcPr>
            <w:tcW w:w="116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100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spacing w:after="0"/>
              <w:rPr>
                <w:sz w:val="12"/>
                <w:szCs w:val="12"/>
                <w:color w:val="auto"/>
              </w:rPr>
            </w:pP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7"/>
                <w:szCs w:val="17"/>
                <w:color w:val="auto"/>
                <w:vertAlign w:val="superscript"/>
              </w:rPr>
              <w:t>5</w:t>
            </w:r>
          </w:p>
        </w:tc>
        <w:tc>
          <w:tcPr>
            <w:tcW w:w="100" w:type="dxa"/>
            <w:vAlign w:val="bottom"/>
          </w:tcPr>
          <w:p>
            <w:pPr>
              <w:spacing w:after="0"/>
              <w:rPr>
                <w:sz w:val="12"/>
                <w:szCs w:val="12"/>
                <w:color w:val="auto"/>
              </w:rPr>
            </w:pPr>
          </w:p>
        </w:tc>
        <w:tc>
          <w:tcPr>
            <w:tcW w:w="1000" w:type="dxa"/>
            <w:vAlign w:val="bottom"/>
            <w:tcBorders>
              <w:right w:val="single" w:sz="8" w:color="47829E"/>
            </w:tcBorders>
          </w:tcPr>
          <w:p>
            <w:pPr>
              <w:spacing w:after="0"/>
              <w:rPr>
                <w:sz w:val="12"/>
                <w:szCs w:val="12"/>
                <w:color w:val="auto"/>
              </w:rPr>
            </w:pPr>
          </w:p>
        </w:tc>
        <w:tc>
          <w:tcPr>
            <w:tcW w:w="116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100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Daniel L. Grant</w:t>
            </w: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1"/>
                <w:szCs w:val="11"/>
                <w:color w:val="auto"/>
              </w:rPr>
              <w:t>Performance Shares</w:t>
            </w:r>
            <w:r>
              <w:rPr>
                <w:rFonts w:ascii="Arial" w:cs="Arial" w:eastAsia="Arial" w:hAnsi="Arial"/>
                <w:sz w:val="17"/>
                <w:szCs w:val="17"/>
                <w:color w:val="auto"/>
                <w:vertAlign w:val="superscript"/>
              </w:rPr>
              <w:t>6</w:t>
            </w:r>
          </w:p>
        </w:tc>
        <w:tc>
          <w:tcPr>
            <w:tcW w:w="1100" w:type="dxa"/>
            <w:vAlign w:val="bottom"/>
            <w:tcBorders>
              <w:right w:val="single" w:sz="8" w:color="47829E"/>
            </w:tcBorders>
            <w:gridSpan w:val="2"/>
          </w:tcPr>
          <w:p>
            <w:pPr>
              <w:jc w:val="right"/>
              <w:ind w:right="72"/>
              <w:spacing w:after="0" w:line="149" w:lineRule="exact"/>
              <w:rPr>
                <w:sz w:val="20"/>
                <w:szCs w:val="20"/>
                <w:color w:val="auto"/>
              </w:rPr>
            </w:pPr>
            <w:r>
              <w:rPr>
                <w:rFonts w:ascii="Arial" w:cs="Arial" w:eastAsia="Arial" w:hAnsi="Arial"/>
                <w:sz w:val="14"/>
                <w:szCs w:val="14"/>
                <w:color w:val="auto"/>
              </w:rPr>
              <w:t>113,519</w:t>
            </w:r>
          </w:p>
        </w:tc>
        <w:tc>
          <w:tcPr>
            <w:tcW w:w="116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113,519</w:t>
            </w:r>
          </w:p>
        </w:tc>
        <w:tc>
          <w:tcPr>
            <w:tcW w:w="90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113,519</w:t>
            </w: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113,519</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spacing w:after="0"/>
              <w:rPr>
                <w:sz w:val="12"/>
                <w:szCs w:val="12"/>
                <w:color w:val="auto"/>
              </w:rPr>
            </w:pP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1"/>
                <w:szCs w:val="11"/>
                <w:color w:val="auto"/>
              </w:rPr>
              <w:t>Retirement Plans</w:t>
            </w:r>
            <w:r>
              <w:rPr>
                <w:rFonts w:ascii="Arial" w:cs="Arial" w:eastAsia="Arial" w:hAnsi="Arial"/>
                <w:sz w:val="17"/>
                <w:szCs w:val="17"/>
                <w:color w:val="auto"/>
                <w:vertAlign w:val="superscript"/>
              </w:rPr>
              <w:t>7</w:t>
            </w:r>
          </w:p>
        </w:tc>
        <w:tc>
          <w:tcPr>
            <w:tcW w:w="100" w:type="dxa"/>
            <w:vAlign w:val="bottom"/>
          </w:tcPr>
          <w:p>
            <w:pPr>
              <w:spacing w:after="0"/>
              <w:rPr>
                <w:sz w:val="12"/>
                <w:szCs w:val="12"/>
                <w:color w:val="auto"/>
              </w:rPr>
            </w:pPr>
          </w:p>
        </w:tc>
        <w:tc>
          <w:tcPr>
            <w:tcW w:w="1000" w:type="dxa"/>
            <w:vAlign w:val="bottom"/>
            <w:tcBorders>
              <w:right w:val="single" w:sz="8" w:color="47829E"/>
            </w:tcBorders>
          </w:tcPr>
          <w:p>
            <w:pPr>
              <w:spacing w:after="0"/>
              <w:rPr>
                <w:sz w:val="12"/>
                <w:szCs w:val="12"/>
                <w:color w:val="auto"/>
              </w:rPr>
            </w:pPr>
          </w:p>
        </w:tc>
        <w:tc>
          <w:tcPr>
            <w:tcW w:w="116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jc w:val="right"/>
              <w:ind w:right="52"/>
              <w:spacing w:after="0" w:line="149" w:lineRule="exact"/>
              <w:rPr>
                <w:sz w:val="20"/>
                <w:szCs w:val="20"/>
                <w:color w:val="auto"/>
              </w:rPr>
            </w:pPr>
            <w:r>
              <w:rPr>
                <w:rFonts w:ascii="Arial" w:cs="Arial" w:eastAsia="Arial" w:hAnsi="Arial"/>
                <w:sz w:val="14"/>
                <w:szCs w:val="14"/>
                <w:color w:val="auto"/>
              </w:rPr>
              <w:t>145,059</w:t>
            </w:r>
          </w:p>
        </w:tc>
        <w:tc>
          <w:tcPr>
            <w:tcW w:w="900" w:type="dxa"/>
            <w:vAlign w:val="bottom"/>
            <w:tcBorders>
              <w:right w:val="single" w:sz="8" w:color="47829E"/>
            </w:tcBorders>
          </w:tcPr>
          <w:p>
            <w:pPr>
              <w:spacing w:after="0"/>
              <w:rPr>
                <w:sz w:val="12"/>
                <w:szCs w:val="12"/>
                <w:color w:val="auto"/>
              </w:rPr>
            </w:pP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261,589</w:t>
            </w:r>
          </w:p>
        </w:tc>
        <w:tc>
          <w:tcPr>
            <w:tcW w:w="0" w:type="dxa"/>
            <w:vAlign w:val="bottom"/>
          </w:tcPr>
          <w:p>
            <w:pPr>
              <w:spacing w:after="0"/>
              <w:rPr>
                <w:sz w:val="1"/>
                <w:szCs w:val="1"/>
                <w:color w:val="auto"/>
              </w:rPr>
            </w:pPr>
          </w:p>
        </w:tc>
      </w:tr>
      <w:tr>
        <w:trPr>
          <w:trHeight w:val="149"/>
        </w:trPr>
        <w:tc>
          <w:tcPr>
            <w:tcW w:w="20" w:type="dxa"/>
            <w:vAlign w:val="bottom"/>
            <w:shd w:val="clear" w:color="auto" w:fill="47829E"/>
          </w:tcPr>
          <w:p>
            <w:pPr>
              <w:spacing w:after="0"/>
              <w:rPr>
                <w:sz w:val="12"/>
                <w:szCs w:val="12"/>
                <w:color w:val="auto"/>
              </w:rPr>
            </w:pPr>
          </w:p>
        </w:tc>
        <w:tc>
          <w:tcPr>
            <w:tcW w:w="1820" w:type="dxa"/>
            <w:vAlign w:val="bottom"/>
          </w:tcPr>
          <w:p>
            <w:pPr>
              <w:spacing w:after="0"/>
              <w:rPr>
                <w:sz w:val="12"/>
                <w:szCs w:val="12"/>
                <w:color w:val="auto"/>
              </w:rPr>
            </w:pP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7"/>
                <w:szCs w:val="17"/>
                <w:color w:val="auto"/>
                <w:vertAlign w:val="superscript"/>
              </w:rPr>
              <w:t>8</w:t>
            </w:r>
          </w:p>
        </w:tc>
        <w:tc>
          <w:tcPr>
            <w:tcW w:w="100" w:type="dxa"/>
            <w:vAlign w:val="bottom"/>
          </w:tcPr>
          <w:p>
            <w:pPr>
              <w:spacing w:after="0"/>
              <w:rPr>
                <w:sz w:val="12"/>
                <w:szCs w:val="12"/>
                <w:color w:val="auto"/>
              </w:rPr>
            </w:pPr>
          </w:p>
        </w:tc>
        <w:tc>
          <w:tcPr>
            <w:tcW w:w="1000" w:type="dxa"/>
            <w:vAlign w:val="bottom"/>
            <w:tcBorders>
              <w:right w:val="single" w:sz="8" w:color="47829E"/>
            </w:tcBorders>
          </w:tcPr>
          <w:p>
            <w:pPr>
              <w:spacing w:after="0"/>
              <w:rPr>
                <w:sz w:val="12"/>
                <w:szCs w:val="12"/>
                <w:color w:val="auto"/>
              </w:rPr>
            </w:pPr>
          </w:p>
        </w:tc>
        <w:tc>
          <w:tcPr>
            <w:tcW w:w="1160" w:type="dxa"/>
            <w:vAlign w:val="bottom"/>
            <w:tcBorders>
              <w:right w:val="single" w:sz="8" w:color="47829E"/>
            </w:tcBorders>
          </w:tcPr>
          <w:p>
            <w:pPr>
              <w:spacing w:after="0"/>
              <w:rPr>
                <w:sz w:val="12"/>
                <w:szCs w:val="12"/>
                <w:color w:val="auto"/>
              </w:rPr>
            </w:pPr>
          </w:p>
        </w:tc>
        <w:tc>
          <w:tcPr>
            <w:tcW w:w="88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spacing w:after="0"/>
              <w:rPr>
                <w:sz w:val="12"/>
                <w:szCs w:val="12"/>
                <w:color w:val="auto"/>
              </w:rPr>
            </w:pP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29,669</w:t>
            </w:r>
          </w:p>
        </w:tc>
        <w:tc>
          <w:tcPr>
            <w:tcW w:w="0" w:type="dxa"/>
            <w:vAlign w:val="bottom"/>
          </w:tcPr>
          <w:p>
            <w:pPr>
              <w:spacing w:after="0"/>
              <w:rPr>
                <w:sz w:val="1"/>
                <w:szCs w:val="1"/>
                <w:color w:val="auto"/>
              </w:rPr>
            </w:pPr>
          </w:p>
        </w:tc>
      </w:tr>
      <w:tr>
        <w:trPr>
          <w:trHeight w:val="175"/>
        </w:trPr>
        <w:tc>
          <w:tcPr>
            <w:tcW w:w="20" w:type="dxa"/>
            <w:vAlign w:val="bottom"/>
            <w:shd w:val="clear" w:color="auto" w:fill="47829E"/>
          </w:tcPr>
          <w:p>
            <w:pPr>
              <w:spacing w:after="0"/>
              <w:rPr>
                <w:sz w:val="15"/>
                <w:szCs w:val="15"/>
                <w:color w:val="auto"/>
              </w:rPr>
            </w:pPr>
          </w:p>
        </w:tc>
        <w:tc>
          <w:tcPr>
            <w:tcW w:w="1820" w:type="dxa"/>
            <w:vAlign w:val="bottom"/>
          </w:tcPr>
          <w:p>
            <w:pPr>
              <w:spacing w:after="0"/>
              <w:rPr>
                <w:sz w:val="15"/>
                <w:szCs w:val="15"/>
                <w:color w:val="auto"/>
              </w:rPr>
            </w:pPr>
          </w:p>
        </w:tc>
        <w:tc>
          <w:tcPr>
            <w:tcW w:w="4560" w:type="dxa"/>
            <w:vAlign w:val="bottom"/>
            <w:tcBorders>
              <w:left w:val="single" w:sz="8" w:color="47829E"/>
              <w:right w:val="single" w:sz="8" w:color="47829E"/>
            </w:tcBorders>
            <w:gridSpan w:val="2"/>
          </w:tcPr>
          <w:p>
            <w:pPr>
              <w:ind w:left="100"/>
              <w:spacing w:after="0" w:line="175" w:lineRule="exact"/>
              <w:rPr>
                <w:sz w:val="20"/>
                <w:szCs w:val="20"/>
                <w:color w:val="auto"/>
              </w:rPr>
            </w:pPr>
            <w:r>
              <w:rPr>
                <w:rFonts w:ascii="Arial" w:cs="Arial" w:eastAsia="Arial" w:hAnsi="Arial"/>
                <w:sz w:val="13"/>
                <w:szCs w:val="13"/>
                <w:color w:val="auto"/>
              </w:rPr>
              <w:t>Retiree Medical Benefits</w:t>
            </w:r>
            <w:r>
              <w:rPr>
                <w:rFonts w:ascii="Arial" w:cs="Arial" w:eastAsia="Arial" w:hAnsi="Arial"/>
                <w:sz w:val="20"/>
                <w:szCs w:val="20"/>
                <w:color w:val="auto"/>
                <w:vertAlign w:val="superscript"/>
              </w:rPr>
              <w:t>9</w:t>
            </w:r>
          </w:p>
        </w:tc>
        <w:tc>
          <w:tcPr>
            <w:tcW w:w="100" w:type="dxa"/>
            <w:vAlign w:val="bottom"/>
          </w:tcPr>
          <w:p>
            <w:pPr>
              <w:spacing w:after="0"/>
              <w:rPr>
                <w:sz w:val="15"/>
                <w:szCs w:val="15"/>
                <w:color w:val="auto"/>
              </w:rPr>
            </w:pPr>
          </w:p>
        </w:tc>
        <w:tc>
          <w:tcPr>
            <w:tcW w:w="1000" w:type="dxa"/>
            <w:vAlign w:val="bottom"/>
            <w:tcBorders>
              <w:right w:val="single" w:sz="8" w:color="47829E"/>
            </w:tcBorders>
          </w:tcPr>
          <w:p>
            <w:pPr>
              <w:spacing w:after="0"/>
              <w:rPr>
                <w:sz w:val="15"/>
                <w:szCs w:val="15"/>
                <w:color w:val="auto"/>
              </w:rPr>
            </w:pPr>
          </w:p>
        </w:tc>
        <w:tc>
          <w:tcPr>
            <w:tcW w:w="1160" w:type="dxa"/>
            <w:vAlign w:val="bottom"/>
            <w:tcBorders>
              <w:right w:val="single" w:sz="8" w:color="47829E"/>
            </w:tcBorders>
          </w:tcPr>
          <w:p>
            <w:pPr>
              <w:spacing w:after="0"/>
              <w:rPr>
                <w:sz w:val="15"/>
                <w:szCs w:val="15"/>
                <w:color w:val="auto"/>
              </w:rPr>
            </w:pPr>
          </w:p>
        </w:tc>
        <w:tc>
          <w:tcPr>
            <w:tcW w:w="880" w:type="dxa"/>
            <w:vAlign w:val="bottom"/>
            <w:tcBorders>
              <w:right w:val="single" w:sz="8" w:color="47829E"/>
            </w:tcBorders>
          </w:tcPr>
          <w:p>
            <w:pPr>
              <w:spacing w:after="0"/>
              <w:rPr>
                <w:sz w:val="15"/>
                <w:szCs w:val="15"/>
                <w:color w:val="auto"/>
              </w:rPr>
            </w:pPr>
          </w:p>
        </w:tc>
        <w:tc>
          <w:tcPr>
            <w:tcW w:w="900" w:type="dxa"/>
            <w:vAlign w:val="bottom"/>
            <w:tcBorders>
              <w:right w:val="single" w:sz="8" w:color="47829E"/>
            </w:tcBorders>
          </w:tcPr>
          <w:p>
            <w:pPr>
              <w:spacing w:after="0"/>
              <w:rPr>
                <w:sz w:val="15"/>
                <w:szCs w:val="15"/>
                <w:color w:val="auto"/>
              </w:rPr>
            </w:pPr>
          </w:p>
        </w:tc>
        <w:tc>
          <w:tcPr>
            <w:tcW w:w="1000" w:type="dxa"/>
            <w:vAlign w:val="bottom"/>
            <w:tcBorders>
              <w:right w:val="single" w:sz="8" w:color="47829E"/>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47829E"/>
          </w:tcPr>
          <w:p>
            <w:pPr>
              <w:spacing w:after="0"/>
              <w:rPr>
                <w:sz w:val="14"/>
                <w:szCs w:val="14"/>
                <w:color w:val="auto"/>
              </w:rPr>
            </w:pPr>
          </w:p>
        </w:tc>
        <w:tc>
          <w:tcPr>
            <w:tcW w:w="1820" w:type="dxa"/>
            <w:vAlign w:val="bottom"/>
            <w:vMerge w:val="restart"/>
          </w:tcPr>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 xml:space="preserve"> The table does not include</w:t>
            </w:r>
          </w:p>
        </w:tc>
        <w:tc>
          <w:tcPr>
            <w:tcW w:w="4560" w:type="dxa"/>
            <w:vAlign w:val="bottom"/>
            <w:tcBorders>
              <w:left w:val="single" w:sz="8" w:color="47829E"/>
              <w:right w:val="single" w:sz="8" w:color="47829E"/>
            </w:tcBorders>
            <w:gridSpan w:val="2"/>
          </w:tcPr>
          <w:p>
            <w:pPr>
              <w:ind w:left="100"/>
              <w:spacing w:after="0" w:line="149" w:lineRule="exact"/>
              <w:rPr>
                <w:sz w:val="20"/>
                <w:szCs w:val="20"/>
                <w:color w:val="auto"/>
              </w:rPr>
            </w:pPr>
            <w:r>
              <w:rPr>
                <w:rFonts w:ascii="Arial" w:cs="Arial" w:eastAsia="Arial" w:hAnsi="Arial"/>
                <w:sz w:val="14"/>
                <w:szCs w:val="14"/>
                <w:color w:val="auto"/>
              </w:rPr>
              <w:t>Excise Tax &amp; Gross-up</w:t>
            </w:r>
          </w:p>
        </w:tc>
        <w:tc>
          <w:tcPr>
            <w:tcW w:w="100" w:type="dxa"/>
            <w:vAlign w:val="bottom"/>
          </w:tcPr>
          <w:p>
            <w:pPr>
              <w:spacing w:after="0"/>
              <w:rPr>
                <w:sz w:val="14"/>
                <w:szCs w:val="14"/>
                <w:color w:val="auto"/>
              </w:rPr>
            </w:pPr>
          </w:p>
        </w:tc>
        <w:tc>
          <w:tcPr>
            <w:tcW w:w="1000" w:type="dxa"/>
            <w:vAlign w:val="bottom"/>
            <w:tcBorders>
              <w:right w:val="single" w:sz="8" w:color="47829E"/>
            </w:tcBorders>
          </w:tcPr>
          <w:p>
            <w:pPr>
              <w:spacing w:after="0"/>
              <w:rPr>
                <w:sz w:val="14"/>
                <w:szCs w:val="14"/>
                <w:color w:val="auto"/>
              </w:rPr>
            </w:pPr>
          </w:p>
        </w:tc>
        <w:tc>
          <w:tcPr>
            <w:tcW w:w="1160" w:type="dxa"/>
            <w:vAlign w:val="bottom"/>
            <w:tcBorders>
              <w:right w:val="single" w:sz="8" w:color="47829E"/>
            </w:tcBorders>
          </w:tcPr>
          <w:p>
            <w:pPr>
              <w:spacing w:after="0"/>
              <w:rPr>
                <w:sz w:val="14"/>
                <w:szCs w:val="14"/>
                <w:color w:val="auto"/>
              </w:rPr>
            </w:pPr>
          </w:p>
        </w:tc>
        <w:tc>
          <w:tcPr>
            <w:tcW w:w="880" w:type="dxa"/>
            <w:vAlign w:val="bottom"/>
            <w:tcBorders>
              <w:right w:val="single" w:sz="8" w:color="47829E"/>
            </w:tcBorders>
          </w:tcPr>
          <w:p>
            <w:pPr>
              <w:spacing w:after="0"/>
              <w:rPr>
                <w:sz w:val="14"/>
                <w:szCs w:val="14"/>
                <w:color w:val="auto"/>
              </w:rPr>
            </w:pPr>
          </w:p>
        </w:tc>
        <w:tc>
          <w:tcPr>
            <w:tcW w:w="900" w:type="dxa"/>
            <w:vAlign w:val="bottom"/>
            <w:tcBorders>
              <w:right w:val="single" w:sz="8" w:color="47829E"/>
            </w:tcBorders>
          </w:tcPr>
          <w:p>
            <w:pPr>
              <w:spacing w:after="0"/>
              <w:rPr>
                <w:sz w:val="14"/>
                <w:szCs w:val="14"/>
                <w:color w:val="auto"/>
              </w:rPr>
            </w:pPr>
          </w:p>
        </w:tc>
        <w:tc>
          <w:tcPr>
            <w:tcW w:w="1000" w:type="dxa"/>
            <w:vAlign w:val="bottom"/>
            <w:tcBorders>
              <w:right w:val="single" w:sz="8" w:color="47829E"/>
            </w:tcBorders>
          </w:tcPr>
          <w:p>
            <w:pPr>
              <w:jc w:val="right"/>
              <w:ind w:right="132"/>
              <w:spacing w:after="0" w:line="149" w:lineRule="exact"/>
              <w:rPr>
                <w:sz w:val="20"/>
                <w:szCs w:val="20"/>
                <w:color w:val="auto"/>
              </w:rPr>
            </w:pPr>
            <w:r>
              <w:rPr>
                <w:rFonts w:ascii="Arial" w:cs="Arial" w:eastAsia="Arial" w:hAnsi="Arial"/>
                <w:sz w:val="14"/>
                <w:szCs w:val="14"/>
                <w:color w:val="auto"/>
              </w:rPr>
              <w:t>967,196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4560" w:type="dxa"/>
            <w:vAlign w:val="bottom"/>
            <w:gridSpan w:val="2"/>
          </w:tcPr>
          <w:p>
            <w:pPr>
              <w:spacing w:after="0" w:line="148" w:lineRule="exact"/>
              <w:rPr>
                <w:sz w:val="20"/>
                <w:szCs w:val="20"/>
                <w:color w:val="auto"/>
              </w:rPr>
            </w:pPr>
            <w:r>
              <w:rPr>
                <w:rFonts w:ascii="Arial" w:cs="Arial" w:eastAsia="Arial" w:hAnsi="Arial"/>
                <w:sz w:val="14"/>
                <w:szCs w:val="14"/>
                <w:color w:val="auto"/>
                <w:w w:val="94"/>
              </w:rPr>
              <w:t>information with respect to plans or arrangements that are available generally</w:t>
            </w:r>
          </w:p>
        </w:tc>
        <w:tc>
          <w:tcPr>
            <w:tcW w:w="2260" w:type="dxa"/>
            <w:vAlign w:val="bottom"/>
            <w:gridSpan w:val="3"/>
          </w:tcPr>
          <w:p>
            <w:pPr>
              <w:jc w:val="right"/>
              <w:spacing w:after="0" w:line="148" w:lineRule="exact"/>
              <w:rPr>
                <w:sz w:val="20"/>
                <w:szCs w:val="20"/>
                <w:color w:val="auto"/>
              </w:rPr>
            </w:pPr>
            <w:r>
              <w:rPr>
                <w:rFonts w:ascii="Arial" w:cs="Arial" w:eastAsia="Arial" w:hAnsi="Arial"/>
                <w:sz w:val="14"/>
                <w:szCs w:val="14"/>
                <w:color w:val="auto"/>
                <w:w w:val="97"/>
              </w:rPr>
              <w:t>to all salaried employees and that do</w:t>
            </w:r>
          </w:p>
        </w:tc>
        <w:tc>
          <w:tcPr>
            <w:tcW w:w="880" w:type="dxa"/>
            <w:vAlign w:val="bottom"/>
          </w:tcPr>
          <w:p>
            <w:pPr>
              <w:jc w:val="right"/>
              <w:spacing w:after="0" w:line="148" w:lineRule="exact"/>
              <w:rPr>
                <w:sz w:val="20"/>
                <w:szCs w:val="20"/>
                <w:color w:val="auto"/>
              </w:rPr>
            </w:pPr>
            <w:r>
              <w:rPr>
                <w:rFonts w:ascii="Arial" w:cs="Arial" w:eastAsia="Arial" w:hAnsi="Arial"/>
                <w:sz w:val="14"/>
                <w:szCs w:val="14"/>
                <w:color w:val="auto"/>
                <w:w w:val="85"/>
              </w:rPr>
              <w:t>not discriminate</w:t>
            </w:r>
          </w:p>
        </w:tc>
        <w:tc>
          <w:tcPr>
            <w:tcW w:w="900" w:type="dxa"/>
            <w:vAlign w:val="bottom"/>
          </w:tcPr>
          <w:p>
            <w:pPr>
              <w:jc w:val="right"/>
              <w:ind w:right="72"/>
              <w:spacing w:after="0" w:line="148" w:lineRule="exact"/>
              <w:rPr>
                <w:sz w:val="20"/>
                <w:szCs w:val="20"/>
                <w:color w:val="auto"/>
              </w:rPr>
            </w:pPr>
            <w:r>
              <w:rPr>
                <w:rFonts w:ascii="Arial" w:cs="Arial" w:eastAsia="Arial" w:hAnsi="Arial"/>
                <w:sz w:val="14"/>
                <w:szCs w:val="14"/>
                <w:color w:val="auto"/>
              </w:rPr>
              <w:t>in favor of</w:t>
            </w:r>
          </w:p>
        </w:tc>
        <w:tc>
          <w:tcPr>
            <w:tcW w:w="1000" w:type="dxa"/>
            <w:vAlign w:val="bottom"/>
          </w:tcPr>
          <w:p>
            <w:pPr>
              <w:jc w:val="right"/>
              <w:spacing w:after="0" w:line="148" w:lineRule="exact"/>
              <w:rPr>
                <w:sz w:val="20"/>
                <w:szCs w:val="20"/>
                <w:color w:val="auto"/>
              </w:rPr>
            </w:pPr>
            <w:r>
              <w:rPr>
                <w:rFonts w:ascii="Arial" w:cs="Arial" w:eastAsia="Arial" w:hAnsi="Arial"/>
                <w:sz w:val="14"/>
                <w:szCs w:val="14"/>
                <w:color w:val="auto"/>
                <w:w w:val="85"/>
              </w:rPr>
              <w:t>executive officers.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gridSpan w:val="8"/>
          </w:tcPr>
          <w:p>
            <w:pPr>
              <w:ind w:left="100"/>
              <w:spacing w:after="0"/>
              <w:rPr>
                <w:sz w:val="20"/>
                <w:szCs w:val="20"/>
                <w:color w:val="auto"/>
              </w:rPr>
            </w:pPr>
            <w:r>
              <w:rPr>
                <w:rFonts w:ascii="Arial" w:cs="Arial" w:eastAsia="Arial" w:hAnsi="Arial"/>
                <w:sz w:val="14"/>
                <w:szCs w:val="14"/>
                <w:color w:val="auto"/>
                <w:w w:val="96"/>
              </w:rPr>
              <w:t>The table reflects the incremental value over the amounts to which the named executive officer would have been entitled on a voluntary resignation on December 31, 2014.</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548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8890"/>
                    </a:xfrm>
                    <a:prstGeom prst="rect">
                      <a:avLst/>
                    </a:prstGeom>
                    <a:noFill/>
                  </pic:spPr>
                </pic:pic>
              </a:graphicData>
            </a:graphic>
          </wp:anchor>
        </w:drawing>
      </w:r>
    </w:p>
    <w:p>
      <w:pPr>
        <w:ind w:left="120" w:hanging="112"/>
        <w:spacing w:after="0" w:line="217" w:lineRule="auto"/>
        <w:tabs>
          <w:tab w:leader="none" w:pos="120"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Assumes all earned base salary has been paid.</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40"/>
          </w:cols>
          <w:pgMar w:left="240" w:top="269" w:right="219" w:bottom="1440" w:gutter="0" w:footer="0" w:header="0"/>
        </w:sectPr>
      </w:pPr>
    </w:p>
    <w:bookmarkStart w:id="59" w:name="page60"/>
    <w:bookmarkEnd w:id="59"/>
    <w:p>
      <w:pPr>
        <w:ind w:left="120" w:hanging="112"/>
        <w:spacing w:after="0"/>
        <w:tabs>
          <w:tab w:leader="none" w:pos="120"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Reflects the estimated lump-sum intrinsic value of all unvested restricted stock units.</w:t>
      </w:r>
    </w:p>
    <w:p>
      <w:pPr>
        <w:spacing w:after="0" w:line="67" w:lineRule="exact"/>
        <w:rPr>
          <w:rFonts w:ascii="Arial" w:cs="Arial" w:eastAsia="Arial" w:hAnsi="Arial"/>
          <w:sz w:val="22"/>
          <w:szCs w:val="22"/>
          <w:color w:val="auto"/>
          <w:vertAlign w:val="superscript"/>
        </w:rPr>
      </w:pPr>
    </w:p>
    <w:p>
      <w:pPr>
        <w:spacing w:after="0" w:line="217" w:lineRule="auto"/>
        <w:rPr>
          <w:rFonts w:ascii="Arial" w:cs="Arial" w:eastAsia="Arial" w:hAnsi="Arial"/>
          <w:sz w:val="22"/>
          <w:szCs w:val="22"/>
          <w:color w:val="auto"/>
          <w:vertAlign w:val="superscript"/>
        </w:rPr>
      </w:pPr>
      <w:r>
        <w:rPr>
          <w:rFonts w:ascii="Arial" w:cs="Arial" w:eastAsia="Arial" w:hAnsi="Arial"/>
          <w:sz w:val="22"/>
          <w:szCs w:val="22"/>
          <w:color w:val="auto"/>
          <w:vertAlign w:val="superscript"/>
        </w:rPr>
        <w:t>4</w:t>
      </w:r>
      <w:r>
        <w:rPr>
          <w:rFonts w:ascii="Arial" w:cs="Arial" w:eastAsia="Arial" w:hAnsi="Arial"/>
          <w:sz w:val="14"/>
          <w:szCs w:val="14"/>
          <w:color w:val="auto"/>
        </w:rPr>
        <w:t xml:space="preserve"> Reflects the estimated lump-sum intrinsic value of unvested stock options.</w:t>
      </w:r>
    </w:p>
    <w:p>
      <w:pPr>
        <w:ind w:right="680"/>
        <w:spacing w:after="0" w:line="195" w:lineRule="auto"/>
        <w:rPr>
          <w:rFonts w:ascii="Arial" w:cs="Arial" w:eastAsia="Arial" w:hAnsi="Arial"/>
          <w:sz w:val="22"/>
          <w:szCs w:val="22"/>
          <w:color w:val="auto"/>
          <w:vertAlign w:val="superscript"/>
        </w:rPr>
      </w:pPr>
      <w:r>
        <w:rPr>
          <w:rFonts w:ascii="Arial" w:cs="Arial" w:eastAsia="Arial" w:hAnsi="Arial"/>
          <w:sz w:val="22"/>
          <w:szCs w:val="22"/>
          <w:color w:val="auto"/>
          <w:vertAlign w:val="superscript"/>
        </w:rPr>
        <w:t>5</w:t>
      </w:r>
      <w:r>
        <w:rPr>
          <w:rFonts w:ascii="Arial" w:cs="Arial" w:eastAsia="Arial" w:hAnsi="Arial"/>
          <w:sz w:val="14"/>
          <w:szCs w:val="14"/>
          <w:color w:val="auto"/>
        </w:rPr>
        <w:t xml:space="preserve"> Reflects the difference between the value of the unvested Incentive Stock Plan share units at year-end and the amount of cash invested by the executive officer in the share units. </w:t>
      </w:r>
      <w:r>
        <w:rPr>
          <w:rFonts w:ascii="Arial" w:cs="Arial" w:eastAsia="Arial" w:hAnsi="Arial"/>
          <w:sz w:val="22"/>
          <w:szCs w:val="22"/>
          <w:color w:val="auto"/>
          <w:vertAlign w:val="superscript"/>
        </w:rPr>
        <w:t>6</w:t>
      </w:r>
      <w:r>
        <w:rPr>
          <w:rFonts w:ascii="Arial" w:cs="Arial" w:eastAsia="Arial" w:hAnsi="Arial"/>
          <w:sz w:val="14"/>
          <w:szCs w:val="14"/>
          <w:color w:val="auto"/>
        </w:rPr>
        <w:t xml:space="preserve"> Reflects the estimated lump-sum intrinsic value of all unvested performance shares.</w:t>
      </w:r>
    </w:p>
    <w:p>
      <w:pPr>
        <w:spacing w:after="0" w:line="48" w:lineRule="exact"/>
        <w:rPr>
          <w:sz w:val="20"/>
          <w:szCs w:val="20"/>
          <w:color w:val="auto"/>
        </w:rPr>
      </w:pPr>
    </w:p>
    <w:p>
      <w:pPr>
        <w:jc w:val="both"/>
        <w:ind w:left="120" w:hanging="112"/>
        <w:spacing w:after="0" w:line="198" w:lineRule="auto"/>
        <w:tabs>
          <w:tab w:leader="none" w:pos="12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The table does not include information related to the form and amount of payments or benefits that are not enhanced or accelerated in connection with any termination that would be provided by Martin Marietta’s retirement plans, which is disclosed in the Pension Benefits Table and the accompanying narrative on page 51. Change of Control values include the incremental value of the benefit (including three times Martin Marietta’s match to the defined contribution plan) payable upon a qualifying termination of employment following a Change of Control.</w:t>
      </w:r>
    </w:p>
    <w:p>
      <w:pPr>
        <w:spacing w:after="0" w:line="68" w:lineRule="exact"/>
        <w:rPr>
          <w:sz w:val="20"/>
          <w:szCs w:val="20"/>
          <w:color w:val="auto"/>
        </w:rPr>
      </w:pPr>
    </w:p>
    <w:p>
      <w:pPr>
        <w:ind w:left="120" w:right="20" w:hanging="112"/>
        <w:spacing w:after="0" w:line="180" w:lineRule="auto"/>
        <w:tabs>
          <w:tab w:leader="none" w:pos="12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Reflects the estimated incremental lump-sum present value of all future premiums that would be paid on behalf of the named executive officer under Martin Marietta’s health and welfare plans, including long-term disability and life insurance.</w:t>
      </w:r>
    </w:p>
    <w:p>
      <w:pPr>
        <w:spacing w:after="0" w:line="68" w:lineRule="exact"/>
        <w:rPr>
          <w:sz w:val="20"/>
          <w:szCs w:val="20"/>
          <w:color w:val="auto"/>
        </w:rPr>
      </w:pPr>
    </w:p>
    <w:p>
      <w:pPr>
        <w:ind w:left="120" w:hanging="112"/>
        <w:spacing w:after="0" w:line="180" w:lineRule="auto"/>
        <w:tabs>
          <w:tab w:leader="none" w:pos="12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Reflects the estimated incremental value of the benefit to which the named executive officer would be entitled payable on a Change of Control. Assumes postretirement medical coverage begins after 3 years of active welfare coverage but no earlier than age 55.</w:t>
      </w:r>
    </w:p>
    <w:p>
      <w:pPr>
        <w:spacing w:after="0" w:line="21" w:lineRule="exact"/>
        <w:rPr>
          <w:sz w:val="20"/>
          <w:szCs w:val="20"/>
          <w:color w:val="auto"/>
        </w:rPr>
      </w:pPr>
    </w:p>
    <w:p>
      <w:pPr>
        <w:ind w:left="140" w:hanging="135"/>
        <w:spacing w:after="0" w:line="207" w:lineRule="auto"/>
        <w:rPr>
          <w:sz w:val="20"/>
          <w:szCs w:val="20"/>
          <w:color w:val="auto"/>
        </w:rPr>
      </w:pPr>
      <w:r>
        <w:rPr>
          <w:rFonts w:ascii="Arial" w:cs="Arial" w:eastAsia="Arial" w:hAnsi="Arial"/>
          <w:sz w:val="22"/>
          <w:szCs w:val="22"/>
          <w:color w:val="auto"/>
          <w:vertAlign w:val="superscript"/>
        </w:rPr>
        <w:t>10</w:t>
      </w:r>
      <w:r>
        <w:rPr>
          <w:rFonts w:ascii="Arial" w:cs="Arial" w:eastAsia="Arial" w:hAnsi="Arial"/>
          <w:sz w:val="14"/>
          <w:szCs w:val="14"/>
          <w:color w:val="auto"/>
        </w:rPr>
        <w:t>Mr. Nye, Ms. Lloyd, Mr. McCunniff, and Mr. Grant were not eligible to retire on December 31, 2014. Reflects the value as if Mr. Nye, Ms. Lloyd, Mr. McCunniff, and Mr. Grant were retirement eligible.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PROPOSAL 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ADVISORY VOTE ON THE COMPENSATION OF OUR</w:t>
      </w:r>
    </w:p>
    <w:p>
      <w:pPr>
        <w:jc w:val="center"/>
        <w:spacing w:after="0" w:line="230" w:lineRule="auto"/>
        <w:rPr>
          <w:sz w:val="20"/>
          <w:szCs w:val="20"/>
          <w:color w:val="auto"/>
        </w:rPr>
      </w:pPr>
      <w:r>
        <w:rPr>
          <w:rFonts w:ascii="Arial" w:cs="Arial" w:eastAsia="Arial" w:hAnsi="Arial"/>
          <w:sz w:val="22"/>
          <w:szCs w:val="22"/>
          <w:b w:val="1"/>
          <w:bCs w:val="1"/>
          <w:color w:val="47829E"/>
        </w:rPr>
        <w:t>NAMED EXECUTIVE OFFICERS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47829E"/>
        </w:rPr>
        <w:t>(Item 3 on Proxy Card)</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Public companies are required to provide their shareholders with a periodic opportunity to endorse or not endorse our executive officer pay program and policies. The Board of Directors has elected to do so annually and intends to present through the following non-binding resolution for approval by shareholders at the annual meeting:</w:t>
      </w:r>
    </w:p>
    <w:p>
      <w:pPr>
        <w:spacing w:after="0" w:line="154" w:lineRule="exact"/>
        <w:rPr>
          <w:sz w:val="20"/>
          <w:szCs w:val="20"/>
          <w:color w:val="auto"/>
        </w:rPr>
      </w:pPr>
    </w:p>
    <w:p>
      <w:pPr>
        <w:jc w:val="both"/>
        <w:ind w:left="920"/>
        <w:spacing w:after="0" w:line="238" w:lineRule="auto"/>
        <w:rPr>
          <w:sz w:val="20"/>
          <w:szCs w:val="20"/>
          <w:color w:val="auto"/>
        </w:rPr>
      </w:pPr>
      <w:r>
        <w:rPr>
          <w:rFonts w:ascii="Arial" w:cs="Arial" w:eastAsia="Arial" w:hAnsi="Arial"/>
          <w:sz w:val="18"/>
          <w:szCs w:val="18"/>
          <w:color w:val="auto"/>
        </w:rPr>
        <w:t>“RESOLVED, that the shareholders approve, on an advisory basis, the overall compensation paid to Martin Marietta’s named executive officers, as disclosed pursuant to Item 402 of Regulation S-K in this Proxy Statement in the Compensation Discussion and Analysis and in the narrative and tabular disclosure under the heading “Executive Compensation.”</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Shareholders are urged to read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and consider the various factors regarding compensation that are discussed. We believe that our executive compensation program is reasonable, competitive and strongly focused on pay-for-performance principles. Our executive compensation policies have enabled us to implement our compensation philosophy and achieve its goals. We believe that compensation awarded to our named executive officers in 2014 was appropriate and aligned with 2014 performance and position for growth in future years. The results of the vote on this resolution are advisory and will not be binding upon the Board of Directors. However, the Board values our shareholders’ opinions, and consistent with our record of shareholder engagement, will consider the outcome of the vote in making future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3003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UNANIMOUSLY RECOMMENDS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xml:space="preserve"> THIS PROPOSAL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97"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Authorized for Issuance Under Equity Compensation Plans</w:t>
      </w:r>
    </w:p>
    <w:p>
      <w:pPr>
        <w:spacing w:after="0" w:line="164"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The following table shows information as of December 31, 2014 regarding Martin Marietta’s compensation plans that allow Martin Marietta to issue its equity securities. Martin Marietta’s equity compensation plans consist of the Amended and Restated Martin Marietta Materials, Inc. Common Stock Purchase Plan for Directors (the “Directors’ Plan”), the Martin Marietta Materials, Inc. Amended and Restated Stock-Based Award Plan (the “Stock-Based Award Plan”), under which the Martin Marietta Materials, Inc. Incentive Stock Plan (the “Incentive Stock Plan”) was adopted, the Martin Marietta Materials, Inc. Amended Omnibus Securities Award Plan (the “Omnibus Securities Award Plan”), and the Martin Marietta Materials, Inc. Shareholder Value Achievement Plan (the “Achievement Plan”). Martin Marietta’s shareholders have approved all of these plans. Martin Marietta has not entered into any individual compensation arrangements that would allow it to issue its equity securities to employees or non-employees in exchange for goods or services.</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220" w:type="dxa"/>
            <w:vAlign w:val="bottom"/>
            <w:tcBorders>
              <w:left w:val="single" w:sz="8" w:color="47829E"/>
              <w:right w:val="single" w:sz="8" w:color="47829E"/>
            </w:tcBorders>
            <w:shd w:val="clear" w:color="auto" w:fill="47829E"/>
          </w:tcPr>
          <w:p>
            <w:pPr>
              <w:spacing w:after="0"/>
              <w:rPr>
                <w:sz w:val="17"/>
                <w:szCs w:val="17"/>
                <w:color w:val="auto"/>
              </w:rPr>
            </w:pPr>
          </w:p>
        </w:tc>
        <w:tc>
          <w:tcPr>
            <w:tcW w:w="2400" w:type="dxa"/>
            <w:vAlign w:val="bottom"/>
            <w:tcBorders>
              <w:right w:val="single" w:sz="8" w:color="47829E"/>
            </w:tcBorders>
            <w:shd w:val="clear" w:color="auto" w:fill="47829E"/>
          </w:tcPr>
          <w:p>
            <w:pPr>
              <w:spacing w:after="0"/>
              <w:rPr>
                <w:sz w:val="17"/>
                <w:szCs w:val="17"/>
                <w:color w:val="auto"/>
              </w:rPr>
            </w:pPr>
          </w:p>
        </w:tc>
        <w:tc>
          <w:tcPr>
            <w:tcW w:w="320" w:type="dxa"/>
            <w:vAlign w:val="bottom"/>
            <w:shd w:val="clear" w:color="auto" w:fill="47829E"/>
          </w:tcPr>
          <w:p>
            <w:pPr>
              <w:spacing w:after="0"/>
              <w:rPr>
                <w:sz w:val="17"/>
                <w:szCs w:val="17"/>
                <w:color w:val="auto"/>
              </w:rPr>
            </w:pPr>
          </w:p>
        </w:tc>
        <w:tc>
          <w:tcPr>
            <w:tcW w:w="1520" w:type="dxa"/>
            <w:vAlign w:val="bottom"/>
            <w:tcBorders>
              <w:right w:val="single" w:sz="8" w:color="47829E"/>
            </w:tcBorders>
            <w:shd w:val="clear" w:color="auto" w:fill="47829E"/>
          </w:tcPr>
          <w:p>
            <w:pPr>
              <w:spacing w:after="0"/>
              <w:rPr>
                <w:sz w:val="17"/>
                <w:szCs w:val="17"/>
                <w:color w:val="auto"/>
              </w:rPr>
            </w:pPr>
          </w:p>
        </w:tc>
        <w:tc>
          <w:tcPr>
            <w:tcW w:w="2980" w:type="dxa"/>
            <w:vAlign w:val="bottom"/>
            <w:tcBorders>
              <w:right w:val="single" w:sz="8" w:color="47829E"/>
            </w:tcBorders>
            <w:shd w:val="clear" w:color="auto" w:fill="47829E"/>
          </w:tcPr>
          <w:p>
            <w:pPr>
              <w:jc w:val="center"/>
              <w:ind w:right="172"/>
              <w:spacing w:after="0"/>
              <w:rPr>
                <w:sz w:val="20"/>
                <w:szCs w:val="20"/>
                <w:color w:val="auto"/>
              </w:rPr>
            </w:pPr>
            <w:r>
              <w:rPr>
                <w:rFonts w:ascii="Arial" w:cs="Arial" w:eastAsia="Arial" w:hAnsi="Arial"/>
                <w:sz w:val="18"/>
                <w:szCs w:val="18"/>
                <w:b w:val="1"/>
                <w:bCs w:val="1"/>
                <w:color w:val="FFFFFF"/>
                <w:w w:val="97"/>
              </w:rPr>
              <w:t>Number of securities remaining</w:t>
            </w:r>
          </w:p>
        </w:tc>
        <w:tc>
          <w:tcPr>
            <w:tcW w:w="0" w:type="dxa"/>
            <w:vAlign w:val="bottom"/>
          </w:tcPr>
          <w:p>
            <w:pPr>
              <w:spacing w:after="0"/>
              <w:rPr>
                <w:sz w:val="1"/>
                <w:szCs w:val="1"/>
                <w:color w:val="auto"/>
              </w:rPr>
            </w:pPr>
          </w:p>
        </w:tc>
      </w:tr>
      <w:tr>
        <w:trPr>
          <w:trHeight w:val="203"/>
        </w:trPr>
        <w:tc>
          <w:tcPr>
            <w:tcW w:w="4220" w:type="dxa"/>
            <w:vAlign w:val="bottom"/>
            <w:tcBorders>
              <w:left w:val="single" w:sz="8" w:color="47829E"/>
              <w:right w:val="single" w:sz="8" w:color="47829E"/>
            </w:tcBorders>
            <w:shd w:val="clear" w:color="auto" w:fill="47829E"/>
          </w:tcPr>
          <w:p>
            <w:pPr>
              <w:spacing w:after="0"/>
              <w:rPr>
                <w:sz w:val="17"/>
                <w:szCs w:val="17"/>
                <w:color w:val="auto"/>
              </w:rPr>
            </w:pPr>
          </w:p>
        </w:tc>
        <w:tc>
          <w:tcPr>
            <w:tcW w:w="2400" w:type="dxa"/>
            <w:vAlign w:val="bottom"/>
            <w:tcBorders>
              <w:right w:val="single" w:sz="8" w:color="47829E"/>
            </w:tcBorders>
            <w:shd w:val="clear" w:color="auto" w:fill="47829E"/>
          </w:tcPr>
          <w:p>
            <w:pPr>
              <w:spacing w:after="0"/>
              <w:rPr>
                <w:sz w:val="17"/>
                <w:szCs w:val="17"/>
                <w:color w:val="auto"/>
              </w:rPr>
            </w:pPr>
          </w:p>
        </w:tc>
        <w:tc>
          <w:tcPr>
            <w:tcW w:w="320" w:type="dxa"/>
            <w:vAlign w:val="bottom"/>
            <w:shd w:val="clear" w:color="auto" w:fill="47829E"/>
          </w:tcPr>
          <w:p>
            <w:pPr>
              <w:spacing w:after="0"/>
              <w:rPr>
                <w:sz w:val="17"/>
                <w:szCs w:val="17"/>
                <w:color w:val="auto"/>
              </w:rPr>
            </w:pPr>
          </w:p>
        </w:tc>
        <w:tc>
          <w:tcPr>
            <w:tcW w:w="1520" w:type="dxa"/>
            <w:vAlign w:val="bottom"/>
            <w:tcBorders>
              <w:right w:val="single" w:sz="8" w:color="47829E"/>
            </w:tcBorders>
            <w:shd w:val="clear" w:color="auto" w:fill="47829E"/>
          </w:tcPr>
          <w:p>
            <w:pPr>
              <w:spacing w:after="0"/>
              <w:rPr>
                <w:sz w:val="17"/>
                <w:szCs w:val="17"/>
                <w:color w:val="auto"/>
              </w:rPr>
            </w:pPr>
          </w:p>
        </w:tc>
        <w:tc>
          <w:tcPr>
            <w:tcW w:w="2980" w:type="dxa"/>
            <w:vAlign w:val="bottom"/>
            <w:tcBorders>
              <w:right w:val="single" w:sz="8" w:color="47829E"/>
            </w:tcBorders>
            <w:shd w:val="clear" w:color="auto" w:fill="47829E"/>
          </w:tcPr>
          <w:p>
            <w:pPr>
              <w:jc w:val="center"/>
              <w:ind w:right="152"/>
              <w:spacing w:after="0" w:line="202" w:lineRule="exact"/>
              <w:rPr>
                <w:sz w:val="20"/>
                <w:szCs w:val="20"/>
                <w:color w:val="auto"/>
              </w:rPr>
            </w:pPr>
            <w:r>
              <w:rPr>
                <w:rFonts w:ascii="Arial" w:cs="Arial" w:eastAsia="Arial" w:hAnsi="Arial"/>
                <w:sz w:val="18"/>
                <w:szCs w:val="18"/>
                <w:b w:val="1"/>
                <w:bCs w:val="1"/>
                <w:color w:val="FFFFFF"/>
                <w:w w:val="97"/>
              </w:rPr>
              <w:t>available</w:t>
            </w:r>
          </w:p>
        </w:tc>
        <w:tc>
          <w:tcPr>
            <w:tcW w:w="0" w:type="dxa"/>
            <w:vAlign w:val="bottom"/>
          </w:tcPr>
          <w:p>
            <w:pPr>
              <w:spacing w:after="0"/>
              <w:rPr>
                <w:sz w:val="1"/>
                <w:szCs w:val="1"/>
                <w:color w:val="auto"/>
              </w:rPr>
            </w:pPr>
          </w:p>
        </w:tc>
      </w:tr>
      <w:tr>
        <w:trPr>
          <w:trHeight w:val="203"/>
        </w:trPr>
        <w:tc>
          <w:tcPr>
            <w:tcW w:w="4220" w:type="dxa"/>
            <w:vAlign w:val="bottom"/>
            <w:tcBorders>
              <w:left w:val="single" w:sz="8" w:color="47829E"/>
              <w:right w:val="single" w:sz="8" w:color="47829E"/>
            </w:tcBorders>
            <w:shd w:val="clear" w:color="auto" w:fill="47829E"/>
          </w:tcPr>
          <w:p>
            <w:pPr>
              <w:spacing w:after="0"/>
              <w:rPr>
                <w:sz w:val="17"/>
                <w:szCs w:val="17"/>
                <w:color w:val="auto"/>
              </w:rPr>
            </w:pPr>
          </w:p>
        </w:tc>
        <w:tc>
          <w:tcPr>
            <w:tcW w:w="2400" w:type="dxa"/>
            <w:vAlign w:val="bottom"/>
            <w:tcBorders>
              <w:right w:val="single" w:sz="8" w:color="47829E"/>
            </w:tcBorders>
            <w:shd w:val="clear" w:color="auto" w:fill="47829E"/>
          </w:tcPr>
          <w:p>
            <w:pPr>
              <w:jc w:val="center"/>
              <w:ind w:right="12"/>
              <w:spacing w:after="0" w:line="202" w:lineRule="exact"/>
              <w:rPr>
                <w:sz w:val="20"/>
                <w:szCs w:val="20"/>
                <w:color w:val="auto"/>
              </w:rPr>
            </w:pPr>
            <w:r>
              <w:rPr>
                <w:rFonts w:ascii="Arial" w:cs="Arial" w:eastAsia="Arial" w:hAnsi="Arial"/>
                <w:sz w:val="18"/>
                <w:szCs w:val="18"/>
                <w:b w:val="1"/>
                <w:bCs w:val="1"/>
                <w:color w:val="FFFFFF"/>
                <w:w w:val="97"/>
              </w:rPr>
              <w:t>Number of securities to be</w:t>
            </w:r>
          </w:p>
        </w:tc>
        <w:tc>
          <w:tcPr>
            <w:tcW w:w="1840" w:type="dxa"/>
            <w:vAlign w:val="bottom"/>
            <w:tcBorders>
              <w:right w:val="single" w:sz="8" w:color="47829E"/>
            </w:tcBorders>
            <w:gridSpan w:val="2"/>
            <w:shd w:val="clear" w:color="auto" w:fill="47829E"/>
          </w:tcPr>
          <w:p>
            <w:pPr>
              <w:jc w:val="center"/>
              <w:spacing w:after="0" w:line="202" w:lineRule="exact"/>
              <w:rPr>
                <w:sz w:val="20"/>
                <w:szCs w:val="20"/>
                <w:color w:val="auto"/>
              </w:rPr>
            </w:pPr>
            <w:r>
              <w:rPr>
                <w:rFonts w:ascii="Arial" w:cs="Arial" w:eastAsia="Arial" w:hAnsi="Arial"/>
                <w:sz w:val="18"/>
                <w:szCs w:val="18"/>
                <w:b w:val="1"/>
                <w:bCs w:val="1"/>
                <w:color w:val="FFFFFF"/>
                <w:w w:val="98"/>
              </w:rPr>
              <w:t>Weighted-average</w:t>
            </w:r>
          </w:p>
        </w:tc>
        <w:tc>
          <w:tcPr>
            <w:tcW w:w="2980" w:type="dxa"/>
            <w:vAlign w:val="bottom"/>
            <w:tcBorders>
              <w:right w:val="single" w:sz="8" w:color="47829E"/>
            </w:tcBorders>
            <w:shd w:val="clear" w:color="auto" w:fill="47829E"/>
          </w:tcPr>
          <w:p>
            <w:pPr>
              <w:jc w:val="center"/>
              <w:ind w:right="212"/>
              <w:spacing w:after="0" w:line="202" w:lineRule="exact"/>
              <w:rPr>
                <w:sz w:val="20"/>
                <w:szCs w:val="20"/>
                <w:color w:val="auto"/>
              </w:rPr>
            </w:pPr>
            <w:r>
              <w:rPr>
                <w:rFonts w:ascii="Arial" w:cs="Arial" w:eastAsia="Arial" w:hAnsi="Arial"/>
                <w:sz w:val="18"/>
                <w:szCs w:val="18"/>
                <w:b w:val="1"/>
                <w:bCs w:val="1"/>
                <w:color w:val="FFFFFF"/>
                <w:w w:val="99"/>
              </w:rPr>
              <w:t>for</w:t>
            </w:r>
          </w:p>
        </w:tc>
        <w:tc>
          <w:tcPr>
            <w:tcW w:w="0" w:type="dxa"/>
            <w:vAlign w:val="bottom"/>
          </w:tcPr>
          <w:p>
            <w:pPr>
              <w:spacing w:after="0"/>
              <w:rPr>
                <w:sz w:val="1"/>
                <w:szCs w:val="1"/>
                <w:color w:val="auto"/>
              </w:rPr>
            </w:pPr>
          </w:p>
        </w:tc>
      </w:tr>
      <w:tr>
        <w:trPr>
          <w:trHeight w:val="203"/>
        </w:trPr>
        <w:tc>
          <w:tcPr>
            <w:tcW w:w="4220" w:type="dxa"/>
            <w:vAlign w:val="bottom"/>
            <w:tcBorders>
              <w:left w:val="single" w:sz="8" w:color="47829E"/>
              <w:right w:val="single" w:sz="8" w:color="47829E"/>
            </w:tcBorders>
            <w:shd w:val="clear" w:color="auto" w:fill="47829E"/>
          </w:tcPr>
          <w:p>
            <w:pPr>
              <w:spacing w:after="0"/>
              <w:rPr>
                <w:sz w:val="17"/>
                <w:szCs w:val="17"/>
                <w:color w:val="auto"/>
              </w:rPr>
            </w:pPr>
          </w:p>
        </w:tc>
        <w:tc>
          <w:tcPr>
            <w:tcW w:w="2400" w:type="dxa"/>
            <w:vAlign w:val="bottom"/>
            <w:tcBorders>
              <w:right w:val="single" w:sz="8" w:color="47829E"/>
            </w:tcBorders>
            <w:shd w:val="clear" w:color="auto" w:fill="47829E"/>
          </w:tcPr>
          <w:p>
            <w:pPr>
              <w:jc w:val="center"/>
              <w:ind w:right="32"/>
              <w:spacing w:after="0" w:line="202" w:lineRule="exact"/>
              <w:rPr>
                <w:sz w:val="20"/>
                <w:szCs w:val="20"/>
                <w:color w:val="auto"/>
              </w:rPr>
            </w:pPr>
            <w:r>
              <w:rPr>
                <w:rFonts w:ascii="Arial" w:cs="Arial" w:eastAsia="Arial" w:hAnsi="Arial"/>
                <w:sz w:val="18"/>
                <w:szCs w:val="18"/>
                <w:b w:val="1"/>
                <w:bCs w:val="1"/>
                <w:color w:val="FFFFFF"/>
                <w:w w:val="97"/>
              </w:rPr>
              <w:t>issued upon exercise of</w:t>
            </w:r>
          </w:p>
        </w:tc>
        <w:tc>
          <w:tcPr>
            <w:tcW w:w="320" w:type="dxa"/>
            <w:vAlign w:val="bottom"/>
            <w:shd w:val="clear" w:color="auto" w:fill="47829E"/>
          </w:tcPr>
          <w:p>
            <w:pPr>
              <w:spacing w:after="0"/>
              <w:rPr>
                <w:sz w:val="17"/>
                <w:szCs w:val="17"/>
                <w:color w:val="auto"/>
              </w:rPr>
            </w:pPr>
          </w:p>
        </w:tc>
        <w:tc>
          <w:tcPr>
            <w:tcW w:w="1520" w:type="dxa"/>
            <w:vAlign w:val="bottom"/>
            <w:tcBorders>
              <w:right w:val="single" w:sz="8" w:color="47829E"/>
            </w:tcBorders>
            <w:shd w:val="clear" w:color="auto" w:fill="47829E"/>
          </w:tcPr>
          <w:p>
            <w:pPr>
              <w:jc w:val="center"/>
              <w:ind w:right="332"/>
              <w:spacing w:after="0" w:line="202" w:lineRule="exact"/>
              <w:rPr>
                <w:sz w:val="20"/>
                <w:szCs w:val="20"/>
                <w:color w:val="auto"/>
              </w:rPr>
            </w:pPr>
            <w:r>
              <w:rPr>
                <w:rFonts w:ascii="Arial" w:cs="Arial" w:eastAsia="Arial" w:hAnsi="Arial"/>
                <w:sz w:val="18"/>
                <w:szCs w:val="18"/>
                <w:b w:val="1"/>
                <w:bCs w:val="1"/>
                <w:color w:val="FFFFFF"/>
                <w:w w:val="97"/>
              </w:rPr>
              <w:t>exercise</w:t>
            </w:r>
          </w:p>
        </w:tc>
        <w:tc>
          <w:tcPr>
            <w:tcW w:w="2980" w:type="dxa"/>
            <w:vAlign w:val="bottom"/>
            <w:tcBorders>
              <w:right w:val="single" w:sz="8" w:color="47829E"/>
            </w:tcBorders>
            <w:shd w:val="clear" w:color="auto" w:fill="47829E"/>
          </w:tcPr>
          <w:p>
            <w:pPr>
              <w:jc w:val="center"/>
              <w:ind w:right="172"/>
              <w:spacing w:after="0" w:line="202" w:lineRule="exact"/>
              <w:rPr>
                <w:sz w:val="20"/>
                <w:szCs w:val="20"/>
                <w:color w:val="auto"/>
              </w:rPr>
            </w:pPr>
            <w:r>
              <w:rPr>
                <w:rFonts w:ascii="Arial" w:cs="Arial" w:eastAsia="Arial" w:hAnsi="Arial"/>
                <w:sz w:val="18"/>
                <w:szCs w:val="18"/>
                <w:b w:val="1"/>
                <w:bCs w:val="1"/>
                <w:color w:val="FFFFFF"/>
                <w:w w:val="97"/>
              </w:rPr>
              <w:t>future issuance under equity</w:t>
            </w:r>
          </w:p>
        </w:tc>
        <w:tc>
          <w:tcPr>
            <w:tcW w:w="0" w:type="dxa"/>
            <w:vAlign w:val="bottom"/>
          </w:tcPr>
          <w:p>
            <w:pPr>
              <w:spacing w:after="0"/>
              <w:rPr>
                <w:sz w:val="1"/>
                <w:szCs w:val="1"/>
                <w:color w:val="auto"/>
              </w:rPr>
            </w:pPr>
          </w:p>
        </w:tc>
      </w:tr>
      <w:tr>
        <w:trPr>
          <w:trHeight w:val="203"/>
        </w:trPr>
        <w:tc>
          <w:tcPr>
            <w:tcW w:w="4220" w:type="dxa"/>
            <w:vAlign w:val="bottom"/>
            <w:tcBorders>
              <w:left w:val="single" w:sz="8" w:color="47829E"/>
              <w:right w:val="single" w:sz="8" w:color="47829E"/>
            </w:tcBorders>
            <w:shd w:val="clear" w:color="auto" w:fill="47829E"/>
          </w:tcPr>
          <w:p>
            <w:pPr>
              <w:spacing w:after="0"/>
              <w:rPr>
                <w:sz w:val="17"/>
                <w:szCs w:val="17"/>
                <w:color w:val="auto"/>
              </w:rPr>
            </w:pPr>
          </w:p>
        </w:tc>
        <w:tc>
          <w:tcPr>
            <w:tcW w:w="2400" w:type="dxa"/>
            <w:vAlign w:val="bottom"/>
            <w:tcBorders>
              <w:right w:val="single" w:sz="8" w:color="47829E"/>
            </w:tcBorders>
            <w:shd w:val="clear" w:color="auto" w:fill="47829E"/>
          </w:tcPr>
          <w:p>
            <w:pPr>
              <w:jc w:val="center"/>
              <w:ind w:right="12"/>
              <w:spacing w:after="0" w:line="202" w:lineRule="exact"/>
              <w:rPr>
                <w:sz w:val="20"/>
                <w:szCs w:val="20"/>
                <w:color w:val="auto"/>
              </w:rPr>
            </w:pPr>
            <w:r>
              <w:rPr>
                <w:rFonts w:ascii="Arial" w:cs="Arial" w:eastAsia="Arial" w:hAnsi="Arial"/>
                <w:sz w:val="18"/>
                <w:szCs w:val="18"/>
                <w:b w:val="1"/>
                <w:bCs w:val="1"/>
                <w:color w:val="FFFFFF"/>
                <w:w w:val="98"/>
              </w:rPr>
              <w:t>outstanding</w:t>
            </w:r>
          </w:p>
        </w:tc>
        <w:tc>
          <w:tcPr>
            <w:tcW w:w="1840" w:type="dxa"/>
            <w:vAlign w:val="bottom"/>
            <w:tcBorders>
              <w:right w:val="single" w:sz="8" w:color="47829E"/>
            </w:tcBorders>
            <w:gridSpan w:val="2"/>
            <w:shd w:val="clear" w:color="auto" w:fill="47829E"/>
          </w:tcPr>
          <w:p>
            <w:pPr>
              <w:jc w:val="center"/>
              <w:spacing w:after="0" w:line="202" w:lineRule="exact"/>
              <w:rPr>
                <w:sz w:val="20"/>
                <w:szCs w:val="20"/>
                <w:color w:val="auto"/>
              </w:rPr>
            </w:pPr>
            <w:r>
              <w:rPr>
                <w:rFonts w:ascii="Arial" w:cs="Arial" w:eastAsia="Arial" w:hAnsi="Arial"/>
                <w:sz w:val="18"/>
                <w:szCs w:val="18"/>
                <w:b w:val="1"/>
                <w:bCs w:val="1"/>
                <w:color w:val="FFFFFF"/>
                <w:w w:val="97"/>
              </w:rPr>
              <w:t>price of outstanding</w:t>
            </w:r>
          </w:p>
        </w:tc>
        <w:tc>
          <w:tcPr>
            <w:tcW w:w="2980" w:type="dxa"/>
            <w:vAlign w:val="bottom"/>
            <w:tcBorders>
              <w:right w:val="single" w:sz="8" w:color="47829E"/>
            </w:tcBorders>
            <w:shd w:val="clear" w:color="auto" w:fill="47829E"/>
          </w:tcPr>
          <w:p>
            <w:pPr>
              <w:jc w:val="center"/>
              <w:ind w:right="152"/>
              <w:spacing w:after="0" w:line="202" w:lineRule="exact"/>
              <w:rPr>
                <w:sz w:val="20"/>
                <w:szCs w:val="20"/>
                <w:color w:val="auto"/>
              </w:rPr>
            </w:pPr>
            <w:r>
              <w:rPr>
                <w:rFonts w:ascii="Arial" w:cs="Arial" w:eastAsia="Arial" w:hAnsi="Arial"/>
                <w:sz w:val="18"/>
                <w:szCs w:val="18"/>
                <w:b w:val="1"/>
                <w:bCs w:val="1"/>
                <w:color w:val="FFFFFF"/>
                <w:w w:val="97"/>
              </w:rPr>
              <w:t>compensation plans (excluding</w:t>
            </w:r>
          </w:p>
        </w:tc>
        <w:tc>
          <w:tcPr>
            <w:tcW w:w="0" w:type="dxa"/>
            <w:vAlign w:val="bottom"/>
          </w:tcPr>
          <w:p>
            <w:pPr>
              <w:spacing w:after="0"/>
              <w:rPr>
                <w:sz w:val="1"/>
                <w:szCs w:val="1"/>
                <w:color w:val="auto"/>
              </w:rPr>
            </w:pPr>
          </w:p>
        </w:tc>
      </w:tr>
      <w:tr>
        <w:trPr>
          <w:trHeight w:val="203"/>
        </w:trPr>
        <w:tc>
          <w:tcPr>
            <w:tcW w:w="4220" w:type="dxa"/>
            <w:vAlign w:val="bottom"/>
            <w:tcBorders>
              <w:left w:val="single" w:sz="8" w:color="47829E"/>
              <w:right w:val="single" w:sz="8" w:color="47829E"/>
            </w:tcBorders>
            <w:shd w:val="clear" w:color="auto" w:fill="47829E"/>
          </w:tcPr>
          <w:p>
            <w:pPr>
              <w:spacing w:after="0"/>
              <w:rPr>
                <w:sz w:val="17"/>
                <w:szCs w:val="17"/>
                <w:color w:val="auto"/>
              </w:rPr>
            </w:pPr>
          </w:p>
        </w:tc>
        <w:tc>
          <w:tcPr>
            <w:tcW w:w="2400" w:type="dxa"/>
            <w:vAlign w:val="bottom"/>
            <w:tcBorders>
              <w:right w:val="single" w:sz="8" w:color="47829E"/>
            </w:tcBorders>
            <w:shd w:val="clear" w:color="auto" w:fill="47829E"/>
          </w:tcPr>
          <w:p>
            <w:pPr>
              <w:jc w:val="center"/>
              <w:ind w:right="12"/>
              <w:spacing w:after="0" w:line="202" w:lineRule="exact"/>
              <w:rPr>
                <w:sz w:val="20"/>
                <w:szCs w:val="20"/>
                <w:color w:val="auto"/>
              </w:rPr>
            </w:pPr>
            <w:r>
              <w:rPr>
                <w:rFonts w:ascii="Arial" w:cs="Arial" w:eastAsia="Arial" w:hAnsi="Arial"/>
                <w:sz w:val="18"/>
                <w:szCs w:val="18"/>
                <w:b w:val="1"/>
                <w:bCs w:val="1"/>
                <w:color w:val="FFFFFF"/>
                <w:w w:val="96"/>
              </w:rPr>
              <w:t>options, warrants, and</w:t>
            </w:r>
          </w:p>
        </w:tc>
        <w:tc>
          <w:tcPr>
            <w:tcW w:w="320" w:type="dxa"/>
            <w:vAlign w:val="bottom"/>
            <w:shd w:val="clear" w:color="auto" w:fill="47829E"/>
          </w:tcPr>
          <w:p>
            <w:pPr>
              <w:spacing w:after="0"/>
              <w:rPr>
                <w:sz w:val="17"/>
                <w:szCs w:val="17"/>
                <w:color w:val="auto"/>
              </w:rPr>
            </w:pPr>
          </w:p>
        </w:tc>
        <w:tc>
          <w:tcPr>
            <w:tcW w:w="1520" w:type="dxa"/>
            <w:vAlign w:val="bottom"/>
            <w:tcBorders>
              <w:right w:val="single" w:sz="8" w:color="47829E"/>
            </w:tcBorders>
            <w:shd w:val="clear" w:color="auto" w:fill="47829E"/>
          </w:tcPr>
          <w:p>
            <w:pPr>
              <w:jc w:val="center"/>
              <w:ind w:right="312"/>
              <w:spacing w:after="0" w:line="202" w:lineRule="exact"/>
              <w:rPr>
                <w:sz w:val="20"/>
                <w:szCs w:val="20"/>
                <w:color w:val="auto"/>
              </w:rPr>
            </w:pPr>
            <w:r>
              <w:rPr>
                <w:rFonts w:ascii="Arial" w:cs="Arial" w:eastAsia="Arial" w:hAnsi="Arial"/>
                <w:sz w:val="18"/>
                <w:szCs w:val="18"/>
                <w:b w:val="1"/>
                <w:bCs w:val="1"/>
                <w:color w:val="FFFFFF"/>
                <w:w w:val="97"/>
              </w:rPr>
              <w:t>options,</w:t>
            </w:r>
          </w:p>
        </w:tc>
        <w:tc>
          <w:tcPr>
            <w:tcW w:w="2980" w:type="dxa"/>
            <w:vAlign w:val="bottom"/>
            <w:tcBorders>
              <w:right w:val="single" w:sz="8" w:color="47829E"/>
            </w:tcBorders>
            <w:shd w:val="clear" w:color="auto" w:fill="47829E"/>
          </w:tcPr>
          <w:p>
            <w:pPr>
              <w:jc w:val="center"/>
              <w:ind w:right="152"/>
              <w:spacing w:after="0" w:line="202" w:lineRule="exact"/>
              <w:rPr>
                <w:sz w:val="20"/>
                <w:szCs w:val="20"/>
                <w:color w:val="auto"/>
              </w:rPr>
            </w:pPr>
            <w:r>
              <w:rPr>
                <w:rFonts w:ascii="Arial" w:cs="Arial" w:eastAsia="Arial" w:hAnsi="Arial"/>
                <w:sz w:val="18"/>
                <w:szCs w:val="18"/>
                <w:b w:val="1"/>
                <w:bCs w:val="1"/>
                <w:color w:val="FFFFFF"/>
                <w:w w:val="97"/>
              </w:rPr>
              <w:t>securities</w:t>
            </w:r>
          </w:p>
        </w:tc>
        <w:tc>
          <w:tcPr>
            <w:tcW w:w="0" w:type="dxa"/>
            <w:vAlign w:val="bottom"/>
          </w:tcPr>
          <w:p>
            <w:pPr>
              <w:spacing w:after="0"/>
              <w:rPr>
                <w:sz w:val="1"/>
                <w:szCs w:val="1"/>
                <w:color w:val="auto"/>
              </w:rPr>
            </w:pPr>
          </w:p>
        </w:tc>
      </w:tr>
      <w:tr>
        <w:trPr>
          <w:trHeight w:val="181"/>
        </w:trPr>
        <w:tc>
          <w:tcPr>
            <w:tcW w:w="4220" w:type="dxa"/>
            <w:vAlign w:val="bottom"/>
            <w:tcBorders>
              <w:left w:val="single" w:sz="8" w:color="47829E"/>
              <w:right w:val="single" w:sz="8" w:color="47829E"/>
            </w:tcBorders>
            <w:shd w:val="clear" w:color="auto" w:fill="47829E"/>
          </w:tcPr>
          <w:p>
            <w:pPr>
              <w:spacing w:after="0"/>
              <w:rPr>
                <w:sz w:val="15"/>
                <w:szCs w:val="15"/>
                <w:color w:val="auto"/>
              </w:rPr>
            </w:pPr>
          </w:p>
        </w:tc>
        <w:tc>
          <w:tcPr>
            <w:tcW w:w="2400" w:type="dxa"/>
            <w:vAlign w:val="bottom"/>
            <w:tcBorders>
              <w:right w:val="single" w:sz="8" w:color="47829E"/>
            </w:tcBorders>
            <w:shd w:val="clear" w:color="auto" w:fill="47829E"/>
          </w:tcPr>
          <w:p>
            <w:pPr>
              <w:jc w:val="center"/>
              <w:ind w:right="12"/>
              <w:spacing w:after="0" w:line="181" w:lineRule="exact"/>
              <w:rPr>
                <w:sz w:val="20"/>
                <w:szCs w:val="20"/>
                <w:color w:val="auto"/>
              </w:rPr>
            </w:pPr>
            <w:r>
              <w:rPr>
                <w:rFonts w:ascii="Arial" w:cs="Arial" w:eastAsia="Arial" w:hAnsi="Arial"/>
                <w:sz w:val="18"/>
                <w:szCs w:val="18"/>
                <w:b w:val="1"/>
                <w:bCs w:val="1"/>
                <w:color w:val="FFFFFF"/>
                <w:w w:val="99"/>
              </w:rPr>
              <w:t>rights</w:t>
            </w:r>
          </w:p>
        </w:tc>
        <w:tc>
          <w:tcPr>
            <w:tcW w:w="1840" w:type="dxa"/>
            <w:vAlign w:val="bottom"/>
            <w:tcBorders>
              <w:right w:val="single" w:sz="8" w:color="47829E"/>
            </w:tcBorders>
            <w:gridSpan w:val="2"/>
            <w:shd w:val="clear" w:color="auto" w:fill="47829E"/>
          </w:tcPr>
          <w:p>
            <w:pPr>
              <w:jc w:val="center"/>
              <w:spacing w:after="0" w:line="181" w:lineRule="exact"/>
              <w:rPr>
                <w:sz w:val="20"/>
                <w:szCs w:val="20"/>
                <w:color w:val="auto"/>
              </w:rPr>
            </w:pPr>
            <w:r>
              <w:rPr>
                <w:rFonts w:ascii="Arial" w:cs="Arial" w:eastAsia="Arial" w:hAnsi="Arial"/>
                <w:sz w:val="18"/>
                <w:szCs w:val="18"/>
                <w:b w:val="1"/>
                <w:bCs w:val="1"/>
                <w:color w:val="FFFFFF"/>
                <w:w w:val="97"/>
              </w:rPr>
              <w:t>warrants, and rights</w:t>
            </w:r>
          </w:p>
        </w:tc>
        <w:tc>
          <w:tcPr>
            <w:tcW w:w="2980" w:type="dxa"/>
            <w:vAlign w:val="bottom"/>
            <w:tcBorders>
              <w:right w:val="single" w:sz="8" w:color="47829E"/>
            </w:tcBorders>
            <w:shd w:val="clear" w:color="auto" w:fill="47829E"/>
          </w:tcPr>
          <w:p>
            <w:pPr>
              <w:jc w:val="center"/>
              <w:ind w:right="152"/>
              <w:spacing w:after="0" w:line="181" w:lineRule="exact"/>
              <w:rPr>
                <w:sz w:val="20"/>
                <w:szCs w:val="20"/>
                <w:color w:val="auto"/>
              </w:rPr>
            </w:pPr>
            <w:r>
              <w:rPr>
                <w:rFonts w:ascii="Arial" w:cs="Arial" w:eastAsia="Arial" w:hAnsi="Arial"/>
                <w:sz w:val="18"/>
                <w:szCs w:val="18"/>
                <w:b w:val="1"/>
                <w:bCs w:val="1"/>
                <w:color w:val="FFFFFF"/>
                <w:w w:val="97"/>
              </w:rPr>
              <w:t>reflected in column (a))</w:t>
            </w:r>
          </w:p>
        </w:tc>
        <w:tc>
          <w:tcPr>
            <w:tcW w:w="0" w:type="dxa"/>
            <w:vAlign w:val="bottom"/>
          </w:tcPr>
          <w:p>
            <w:pPr>
              <w:spacing w:after="0"/>
              <w:rPr>
                <w:sz w:val="1"/>
                <w:szCs w:val="1"/>
                <w:color w:val="auto"/>
              </w:rPr>
            </w:pPr>
          </w:p>
        </w:tc>
      </w:tr>
      <w:tr>
        <w:trPr>
          <w:trHeight w:val="257"/>
        </w:trPr>
        <w:tc>
          <w:tcPr>
            <w:tcW w:w="4220" w:type="dxa"/>
            <w:vAlign w:val="bottom"/>
            <w:tcBorders>
              <w:left w:val="single" w:sz="8" w:color="47829E"/>
              <w:right w:val="single" w:sz="8" w:color="47829E"/>
            </w:tcBorders>
            <w:shd w:val="clear" w:color="auto" w:fill="47829E"/>
          </w:tcPr>
          <w:p>
            <w:pPr>
              <w:ind w:left="120"/>
              <w:spacing w:after="0"/>
              <w:rPr>
                <w:sz w:val="20"/>
                <w:szCs w:val="20"/>
                <w:color w:val="auto"/>
              </w:rPr>
            </w:pPr>
            <w:r>
              <w:rPr>
                <w:rFonts w:ascii="Arial" w:cs="Arial" w:eastAsia="Arial" w:hAnsi="Arial"/>
                <w:sz w:val="18"/>
                <w:szCs w:val="18"/>
                <w:b w:val="1"/>
                <w:bCs w:val="1"/>
                <w:color w:val="FFFFFF"/>
              </w:rPr>
              <w:t>Plan Category</w:t>
            </w:r>
          </w:p>
        </w:tc>
        <w:tc>
          <w:tcPr>
            <w:tcW w:w="2400" w:type="dxa"/>
            <w:vAlign w:val="bottom"/>
            <w:tcBorders>
              <w:right w:val="single" w:sz="8" w:color="47829E"/>
            </w:tcBorders>
            <w:shd w:val="clear" w:color="auto" w:fill="47829E"/>
          </w:tcPr>
          <w:p>
            <w:pPr>
              <w:jc w:val="center"/>
              <w:ind w:right="12"/>
              <w:spacing w:after="0"/>
              <w:rPr>
                <w:sz w:val="20"/>
                <w:szCs w:val="20"/>
                <w:color w:val="auto"/>
              </w:rPr>
            </w:pPr>
            <w:r>
              <w:rPr>
                <w:rFonts w:ascii="Arial" w:cs="Arial" w:eastAsia="Arial" w:hAnsi="Arial"/>
                <w:sz w:val="18"/>
                <w:szCs w:val="18"/>
                <w:b w:val="1"/>
                <w:bCs w:val="1"/>
                <w:color w:val="FFFFFF"/>
                <w:w w:val="99"/>
              </w:rPr>
              <w:t>(a)</w:t>
            </w:r>
          </w:p>
        </w:tc>
        <w:tc>
          <w:tcPr>
            <w:tcW w:w="320" w:type="dxa"/>
            <w:vAlign w:val="bottom"/>
            <w:shd w:val="clear" w:color="auto" w:fill="47829E"/>
          </w:tcPr>
          <w:p>
            <w:pPr>
              <w:spacing w:after="0"/>
              <w:rPr>
                <w:sz w:val="22"/>
                <w:szCs w:val="22"/>
                <w:color w:val="auto"/>
              </w:rPr>
            </w:pPr>
          </w:p>
        </w:tc>
        <w:tc>
          <w:tcPr>
            <w:tcW w:w="1520" w:type="dxa"/>
            <w:vAlign w:val="bottom"/>
            <w:tcBorders>
              <w:right w:val="single" w:sz="8" w:color="47829E"/>
            </w:tcBorders>
            <w:shd w:val="clear" w:color="auto" w:fill="47829E"/>
          </w:tcPr>
          <w:p>
            <w:pPr>
              <w:jc w:val="center"/>
              <w:ind w:right="332"/>
              <w:spacing w:after="0" w:line="256" w:lineRule="exact"/>
              <w:rPr>
                <w:sz w:val="20"/>
                <w:szCs w:val="20"/>
                <w:color w:val="auto"/>
              </w:rPr>
            </w:pPr>
            <w:r>
              <w:rPr>
                <w:rFonts w:ascii="Arial" w:cs="Arial" w:eastAsia="Arial" w:hAnsi="Arial"/>
                <w:sz w:val="18"/>
                <w:szCs w:val="18"/>
                <w:b w:val="1"/>
                <w:bCs w:val="1"/>
                <w:color w:val="FFFFFF"/>
                <w:w w:val="88"/>
              </w:rPr>
              <w:t>(b)</w:t>
            </w:r>
            <w:r>
              <w:rPr>
                <w:rFonts w:ascii="Arial" w:cs="Arial" w:eastAsia="Arial" w:hAnsi="Arial"/>
                <w:sz w:val="29"/>
                <w:szCs w:val="29"/>
                <w:b w:val="1"/>
                <w:bCs w:val="1"/>
                <w:color w:val="FFFFFF"/>
                <w:w w:val="88"/>
                <w:vertAlign w:val="superscript"/>
              </w:rPr>
              <w:t>3</w:t>
            </w:r>
          </w:p>
        </w:tc>
        <w:tc>
          <w:tcPr>
            <w:tcW w:w="2980" w:type="dxa"/>
            <w:vAlign w:val="bottom"/>
            <w:tcBorders>
              <w:right w:val="single" w:sz="8" w:color="47829E"/>
            </w:tcBorders>
            <w:shd w:val="clear" w:color="auto" w:fill="47829E"/>
          </w:tcPr>
          <w:p>
            <w:pPr>
              <w:jc w:val="center"/>
              <w:ind w:right="152"/>
              <w:spacing w:after="0"/>
              <w:rPr>
                <w:sz w:val="20"/>
                <w:szCs w:val="20"/>
                <w:color w:val="auto"/>
              </w:rPr>
            </w:pPr>
            <w:r>
              <w:rPr>
                <w:rFonts w:ascii="Arial" w:cs="Arial" w:eastAsia="Arial" w:hAnsi="Arial"/>
                <w:sz w:val="18"/>
                <w:szCs w:val="18"/>
                <w:b w:val="1"/>
                <w:bCs w:val="1"/>
                <w:color w:val="FFFFFF"/>
                <w:w w:val="99"/>
              </w:rPr>
              <w:t>(c)</w:t>
            </w:r>
          </w:p>
        </w:tc>
        <w:tc>
          <w:tcPr>
            <w:tcW w:w="0" w:type="dxa"/>
            <w:vAlign w:val="bottom"/>
          </w:tcPr>
          <w:p>
            <w:pPr>
              <w:spacing w:after="0"/>
              <w:rPr>
                <w:sz w:val="1"/>
                <w:szCs w:val="1"/>
                <w:color w:val="auto"/>
              </w:rPr>
            </w:pPr>
          </w:p>
        </w:tc>
      </w:tr>
      <w:tr>
        <w:trPr>
          <w:trHeight w:val="206"/>
        </w:trPr>
        <w:tc>
          <w:tcPr>
            <w:tcW w:w="4220" w:type="dxa"/>
            <w:vAlign w:val="bottom"/>
            <w:tcBorders>
              <w:left w:val="single" w:sz="8" w:color="47829E"/>
              <w:right w:val="single" w:sz="8" w:color="47829E"/>
            </w:tcBorders>
          </w:tcPr>
          <w:p>
            <w:pPr>
              <w:ind w:left="120"/>
              <w:spacing w:after="0" w:line="206" w:lineRule="exact"/>
              <w:rPr>
                <w:sz w:val="20"/>
                <w:szCs w:val="20"/>
                <w:color w:val="auto"/>
              </w:rPr>
            </w:pPr>
            <w:r>
              <w:rPr>
                <w:rFonts w:ascii="Arial" w:cs="Arial" w:eastAsia="Arial" w:hAnsi="Arial"/>
                <w:sz w:val="18"/>
                <w:szCs w:val="18"/>
                <w:color w:val="auto"/>
              </w:rPr>
              <w:t>Equity compensation plans approved by</w:t>
            </w:r>
          </w:p>
        </w:tc>
        <w:tc>
          <w:tcPr>
            <w:tcW w:w="24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8"/>
                <w:szCs w:val="18"/>
                <w:color w:val="auto"/>
              </w:rPr>
              <w:t>1,100,978</w:t>
            </w:r>
            <w:r>
              <w:rPr>
                <w:rFonts w:ascii="Arial" w:cs="Arial" w:eastAsia="Arial" w:hAnsi="Arial"/>
                <w:sz w:val="22"/>
                <w:szCs w:val="22"/>
                <w:color w:val="auto"/>
                <w:vertAlign w:val="superscript"/>
              </w:rPr>
              <w:t>1</w:t>
            </w:r>
          </w:p>
        </w:tc>
        <w:tc>
          <w:tcPr>
            <w:tcW w:w="32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47829E"/>
            </w:tcBorders>
            <w:vMerge w:val="restart"/>
          </w:tcPr>
          <w:p>
            <w:pPr>
              <w:jc w:val="right"/>
              <w:ind w:right="32"/>
              <w:spacing w:after="0"/>
              <w:rPr>
                <w:sz w:val="20"/>
                <w:szCs w:val="20"/>
                <w:color w:val="auto"/>
              </w:rPr>
            </w:pPr>
            <w:r>
              <w:rPr>
                <w:rFonts w:ascii="Arial" w:cs="Arial" w:eastAsia="Arial" w:hAnsi="Arial"/>
                <w:sz w:val="18"/>
                <w:szCs w:val="18"/>
                <w:color w:val="auto"/>
              </w:rPr>
              <w:t>111.43</w:t>
            </w:r>
          </w:p>
        </w:tc>
        <w:tc>
          <w:tcPr>
            <w:tcW w:w="2980" w:type="dxa"/>
            <w:vAlign w:val="bottom"/>
            <w:tcBorders>
              <w:right w:val="single" w:sz="8" w:color="47829E"/>
            </w:tcBorders>
            <w:vMerge w:val="restart"/>
          </w:tcPr>
          <w:p>
            <w:pPr>
              <w:jc w:val="right"/>
              <w:ind w:right="132"/>
              <w:spacing w:after="0"/>
              <w:rPr>
                <w:sz w:val="20"/>
                <w:szCs w:val="20"/>
                <w:color w:val="auto"/>
              </w:rPr>
            </w:pPr>
            <w:r>
              <w:rPr>
                <w:rFonts w:ascii="Arial" w:cs="Arial" w:eastAsia="Arial" w:hAnsi="Arial"/>
                <w:sz w:val="18"/>
                <w:szCs w:val="18"/>
                <w:color w:val="auto"/>
              </w:rPr>
              <w:t>667,439</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59"/>
        </w:trPr>
        <w:tc>
          <w:tcPr>
            <w:tcW w:w="4220" w:type="dxa"/>
            <w:vAlign w:val="bottom"/>
            <w:tcBorders>
              <w:left w:val="single" w:sz="8" w:color="47829E"/>
              <w:right w:val="single" w:sz="8" w:color="47829E"/>
            </w:tcBorders>
            <w:vMerge w:val="restart"/>
          </w:tcPr>
          <w:p>
            <w:pPr>
              <w:ind w:left="120"/>
              <w:spacing w:after="0" w:line="200" w:lineRule="exact"/>
              <w:rPr>
                <w:sz w:val="20"/>
                <w:szCs w:val="20"/>
                <w:color w:val="auto"/>
              </w:rPr>
            </w:pPr>
            <w:r>
              <w:rPr>
                <w:rFonts w:ascii="Arial" w:cs="Arial" w:eastAsia="Arial" w:hAnsi="Arial"/>
                <w:sz w:val="18"/>
                <w:szCs w:val="18"/>
                <w:color w:val="auto"/>
              </w:rPr>
              <w:t>shareholders</w:t>
            </w:r>
          </w:p>
        </w:tc>
        <w:tc>
          <w:tcPr>
            <w:tcW w:w="2400" w:type="dxa"/>
            <w:vAlign w:val="bottom"/>
            <w:tcBorders>
              <w:right w:val="single" w:sz="8" w:color="47829E"/>
            </w:tcBorders>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520" w:type="dxa"/>
            <w:vAlign w:val="bottom"/>
            <w:tcBorders>
              <w:right w:val="single" w:sz="8" w:color="47829E"/>
            </w:tcBorders>
            <w:vMerge w:val="continue"/>
          </w:tcPr>
          <w:p>
            <w:pPr>
              <w:spacing w:after="0"/>
              <w:rPr>
                <w:sz w:val="13"/>
                <w:szCs w:val="13"/>
                <w:color w:val="auto"/>
              </w:rPr>
            </w:pPr>
          </w:p>
        </w:tc>
        <w:tc>
          <w:tcPr>
            <w:tcW w:w="2980" w:type="dxa"/>
            <w:vAlign w:val="bottom"/>
            <w:tcBorders>
              <w:right w:val="single" w:sz="8" w:color="47829E"/>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4220" w:type="dxa"/>
            <w:vAlign w:val="bottom"/>
            <w:tcBorders>
              <w:left w:val="single" w:sz="8" w:color="47829E"/>
              <w:right w:val="single" w:sz="8" w:color="47829E"/>
            </w:tcBorders>
            <w:vMerge w:val="continue"/>
          </w:tcPr>
          <w:p>
            <w:pPr>
              <w:spacing w:after="0"/>
              <w:rPr>
                <w:sz w:val="3"/>
                <w:szCs w:val="3"/>
                <w:color w:val="auto"/>
              </w:rPr>
            </w:pPr>
          </w:p>
        </w:tc>
        <w:tc>
          <w:tcPr>
            <w:tcW w:w="2400" w:type="dxa"/>
            <w:vAlign w:val="bottom"/>
            <w:tcBorders>
              <w:right w:val="single" w:sz="8" w:color="47829E"/>
            </w:tcBorders>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tcBorders>
              <w:right w:val="single" w:sz="8" w:color="47829E"/>
            </w:tcBorders>
          </w:tcPr>
          <w:p>
            <w:pPr>
              <w:spacing w:after="0"/>
              <w:rPr>
                <w:sz w:val="3"/>
                <w:szCs w:val="3"/>
                <w:color w:val="auto"/>
              </w:rPr>
            </w:pPr>
          </w:p>
        </w:tc>
        <w:tc>
          <w:tcPr>
            <w:tcW w:w="2980" w:type="dxa"/>
            <w:vAlign w:val="bottom"/>
            <w:tcBorders>
              <w:right w:val="single" w:sz="8" w:color="47829E"/>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4220" w:type="dxa"/>
            <w:vAlign w:val="bottom"/>
            <w:tcBorders>
              <w:left w:val="single" w:sz="8" w:color="47829E"/>
              <w:right w:val="single" w:sz="8" w:color="47829E"/>
            </w:tcBorders>
            <w:shd w:val="clear" w:color="auto" w:fill="E3ECF0"/>
          </w:tcPr>
          <w:p>
            <w:pPr>
              <w:ind w:left="120"/>
              <w:spacing w:after="0" w:line="206" w:lineRule="exact"/>
              <w:rPr>
                <w:sz w:val="20"/>
                <w:szCs w:val="20"/>
                <w:color w:val="auto"/>
              </w:rPr>
            </w:pPr>
            <w:r>
              <w:rPr>
                <w:rFonts w:ascii="Arial" w:cs="Arial" w:eastAsia="Arial" w:hAnsi="Arial"/>
                <w:sz w:val="18"/>
                <w:szCs w:val="18"/>
                <w:color w:val="auto"/>
              </w:rPr>
              <w:t>Equity compensation plans not approved by</w:t>
            </w:r>
          </w:p>
        </w:tc>
        <w:tc>
          <w:tcPr>
            <w:tcW w:w="2400" w:type="dxa"/>
            <w:vAlign w:val="bottom"/>
            <w:tcBorders>
              <w:right w:val="single" w:sz="8" w:color="47829E"/>
            </w:tcBorders>
            <w:vMerge w:val="restart"/>
            <w:shd w:val="clear" w:color="auto" w:fill="E3ECF0"/>
          </w:tcPr>
          <w:p>
            <w:pPr>
              <w:jc w:val="right"/>
              <w:spacing w:after="0"/>
              <w:rPr>
                <w:sz w:val="20"/>
                <w:szCs w:val="20"/>
                <w:color w:val="auto"/>
              </w:rPr>
            </w:pPr>
            <w:r>
              <w:rPr>
                <w:rFonts w:ascii="Arial" w:cs="Arial" w:eastAsia="Arial" w:hAnsi="Arial"/>
                <w:sz w:val="18"/>
                <w:szCs w:val="18"/>
                <w:color w:val="auto"/>
              </w:rPr>
              <w:t>316,683</w:t>
            </w:r>
            <w:r>
              <w:rPr>
                <w:rFonts w:ascii="Arial" w:cs="Arial" w:eastAsia="Arial" w:hAnsi="Arial"/>
                <w:sz w:val="22"/>
                <w:szCs w:val="22"/>
                <w:color w:val="auto"/>
                <w:vertAlign w:val="superscript"/>
              </w:rPr>
              <w:t>2</w:t>
            </w:r>
          </w:p>
        </w:tc>
        <w:tc>
          <w:tcPr>
            <w:tcW w:w="320" w:type="dxa"/>
            <w:vAlign w:val="bottom"/>
            <w:vMerge w:val="restart"/>
            <w:shd w:val="clear" w:color="auto" w:fill="E3ECF0"/>
          </w:tcPr>
          <w:p>
            <w:pPr>
              <w:jc w:val="right"/>
              <w:ind w:right="92"/>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47829E"/>
            </w:tcBorders>
            <w:vMerge w:val="restart"/>
            <w:shd w:val="clear" w:color="auto" w:fill="E3ECF0"/>
          </w:tcPr>
          <w:p>
            <w:pPr>
              <w:jc w:val="right"/>
              <w:ind w:right="32"/>
              <w:spacing w:after="0"/>
              <w:rPr>
                <w:sz w:val="20"/>
                <w:szCs w:val="20"/>
                <w:color w:val="auto"/>
              </w:rPr>
            </w:pPr>
            <w:r>
              <w:rPr>
                <w:rFonts w:ascii="Arial" w:cs="Arial" w:eastAsia="Arial" w:hAnsi="Arial"/>
                <w:sz w:val="18"/>
                <w:szCs w:val="18"/>
                <w:color w:val="auto"/>
              </w:rPr>
              <w:t>59.18</w:t>
            </w:r>
          </w:p>
        </w:tc>
        <w:tc>
          <w:tcPr>
            <w:tcW w:w="2980" w:type="dxa"/>
            <w:vAlign w:val="bottom"/>
            <w:tcBorders>
              <w:right w:val="single" w:sz="8" w:color="47829E"/>
            </w:tcBorders>
            <w:vMerge w:val="restart"/>
            <w:shd w:val="clear" w:color="auto" w:fill="E3ECF0"/>
          </w:tcPr>
          <w:p>
            <w:pPr>
              <w:jc w:val="right"/>
              <w:ind w:right="132"/>
              <w:spacing w:after="0"/>
              <w:rPr>
                <w:sz w:val="20"/>
                <w:szCs w:val="20"/>
                <w:color w:val="auto"/>
              </w:rPr>
            </w:pPr>
            <w:r>
              <w:rPr>
                <w:rFonts w:ascii="Arial" w:cs="Arial" w:eastAsia="Arial" w:hAnsi="Arial"/>
                <w:sz w:val="18"/>
                <w:szCs w:val="18"/>
                <w:color w:val="auto"/>
              </w:rPr>
              <w:t>1,848,527</w:t>
            </w:r>
            <w:r>
              <w:rPr>
                <w:rFonts w:ascii="Arial" w:cs="Arial" w:eastAsia="Arial" w:hAnsi="Arial"/>
                <w:sz w:val="22"/>
                <w:szCs w:val="22"/>
                <w:color w:val="auto"/>
                <w:vertAlign w:val="superscript"/>
              </w:rPr>
              <w:t>5</w:t>
            </w:r>
          </w:p>
        </w:tc>
        <w:tc>
          <w:tcPr>
            <w:tcW w:w="0" w:type="dxa"/>
            <w:vAlign w:val="bottom"/>
          </w:tcPr>
          <w:p>
            <w:pPr>
              <w:spacing w:after="0"/>
              <w:rPr>
                <w:sz w:val="1"/>
                <w:szCs w:val="1"/>
                <w:color w:val="auto"/>
              </w:rPr>
            </w:pPr>
          </w:p>
        </w:tc>
      </w:tr>
      <w:tr>
        <w:trPr>
          <w:trHeight w:val="179"/>
        </w:trPr>
        <w:tc>
          <w:tcPr>
            <w:tcW w:w="4220" w:type="dxa"/>
            <w:vAlign w:val="bottom"/>
            <w:tcBorders>
              <w:left w:val="single" w:sz="8" w:color="47829E"/>
              <w:bottom w:val="single" w:sz="8" w:color="E3ECF0"/>
              <w:right w:val="single" w:sz="8" w:color="47829E"/>
            </w:tcBorders>
            <w:shd w:val="clear" w:color="auto" w:fill="E3ECF0"/>
          </w:tcPr>
          <w:p>
            <w:pPr>
              <w:ind w:left="120"/>
              <w:spacing w:after="0" w:line="180" w:lineRule="exact"/>
              <w:rPr>
                <w:sz w:val="20"/>
                <w:szCs w:val="20"/>
                <w:color w:val="auto"/>
              </w:rPr>
            </w:pPr>
            <w:r>
              <w:rPr>
                <w:rFonts w:ascii="Arial" w:cs="Arial" w:eastAsia="Arial" w:hAnsi="Arial"/>
                <w:sz w:val="18"/>
                <w:szCs w:val="18"/>
                <w:color w:val="auto"/>
              </w:rPr>
              <w:t>shareholders</w:t>
            </w:r>
          </w:p>
        </w:tc>
        <w:tc>
          <w:tcPr>
            <w:tcW w:w="2400" w:type="dxa"/>
            <w:vAlign w:val="bottom"/>
            <w:tcBorders>
              <w:bottom w:val="single" w:sz="8" w:color="E3ECF0"/>
              <w:right w:val="single" w:sz="8" w:color="47829E"/>
            </w:tcBorders>
            <w:vMerge w:val="continue"/>
            <w:shd w:val="clear" w:color="auto" w:fill="E3ECF0"/>
          </w:tcPr>
          <w:p>
            <w:pPr>
              <w:spacing w:after="0"/>
              <w:rPr>
                <w:sz w:val="15"/>
                <w:szCs w:val="15"/>
                <w:color w:val="auto"/>
              </w:rPr>
            </w:pPr>
          </w:p>
        </w:tc>
        <w:tc>
          <w:tcPr>
            <w:tcW w:w="320" w:type="dxa"/>
            <w:vAlign w:val="bottom"/>
            <w:tcBorders>
              <w:bottom w:val="single" w:sz="8" w:color="E3ECF0"/>
            </w:tcBorders>
            <w:vMerge w:val="continue"/>
            <w:shd w:val="clear" w:color="auto" w:fill="E3ECF0"/>
          </w:tcPr>
          <w:p>
            <w:pPr>
              <w:spacing w:after="0"/>
              <w:rPr>
                <w:sz w:val="15"/>
                <w:szCs w:val="15"/>
                <w:color w:val="auto"/>
              </w:rPr>
            </w:pPr>
          </w:p>
        </w:tc>
        <w:tc>
          <w:tcPr>
            <w:tcW w:w="1520" w:type="dxa"/>
            <w:vAlign w:val="bottom"/>
            <w:tcBorders>
              <w:bottom w:val="single" w:sz="8" w:color="E3ECF0"/>
              <w:right w:val="single" w:sz="8" w:color="47829E"/>
            </w:tcBorders>
            <w:vMerge w:val="continue"/>
            <w:shd w:val="clear" w:color="auto" w:fill="E3ECF0"/>
          </w:tcPr>
          <w:p>
            <w:pPr>
              <w:spacing w:after="0"/>
              <w:rPr>
                <w:sz w:val="15"/>
                <w:szCs w:val="15"/>
                <w:color w:val="auto"/>
              </w:rPr>
            </w:pPr>
          </w:p>
        </w:tc>
        <w:tc>
          <w:tcPr>
            <w:tcW w:w="2980" w:type="dxa"/>
            <w:vAlign w:val="bottom"/>
            <w:tcBorders>
              <w:bottom w:val="single" w:sz="8" w:color="E3ECF0"/>
              <w:right w:val="single" w:sz="8" w:color="47829E"/>
            </w:tcBorders>
            <w:vMerge w:val="continue"/>
            <w:shd w:val="clear" w:color="auto" w:fill="E3ECF0"/>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tcBorders>
              <w:left w:val="single" w:sz="8" w:color="47829E"/>
              <w:bottom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TOTAL</w:t>
            </w:r>
          </w:p>
        </w:tc>
        <w:tc>
          <w:tcPr>
            <w:tcW w:w="2400" w:type="dxa"/>
            <w:vAlign w:val="bottom"/>
            <w:tcBorders>
              <w:bottom w:val="single" w:sz="8" w:color="47829E"/>
              <w:right w:val="single" w:sz="8" w:color="47829E"/>
            </w:tcBorders>
          </w:tcPr>
          <w:p>
            <w:pPr>
              <w:jc w:val="right"/>
              <w:ind w:right="52"/>
              <w:spacing w:after="0" w:line="202" w:lineRule="exact"/>
              <w:rPr>
                <w:sz w:val="20"/>
                <w:szCs w:val="20"/>
                <w:color w:val="auto"/>
              </w:rPr>
            </w:pPr>
            <w:r>
              <w:rPr>
                <w:rFonts w:ascii="Arial" w:cs="Arial" w:eastAsia="Arial" w:hAnsi="Arial"/>
                <w:sz w:val="18"/>
                <w:szCs w:val="18"/>
                <w:color w:val="auto"/>
              </w:rPr>
              <w:t>1,417,661</w:t>
            </w:r>
          </w:p>
        </w:tc>
        <w:tc>
          <w:tcPr>
            <w:tcW w:w="320" w:type="dxa"/>
            <w:vAlign w:val="bottom"/>
            <w:tcBorders>
              <w:bottom w:val="single" w:sz="8" w:color="47829E"/>
            </w:tcBorders>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47829E"/>
              <w:right w:val="single" w:sz="8" w:color="47829E"/>
            </w:tcBorders>
          </w:tcPr>
          <w:p>
            <w:pPr>
              <w:jc w:val="right"/>
              <w:ind w:right="32"/>
              <w:spacing w:after="0" w:line="202" w:lineRule="exact"/>
              <w:rPr>
                <w:sz w:val="20"/>
                <w:szCs w:val="20"/>
                <w:color w:val="auto"/>
              </w:rPr>
            </w:pPr>
            <w:r>
              <w:rPr>
                <w:rFonts w:ascii="Arial" w:cs="Arial" w:eastAsia="Arial" w:hAnsi="Arial"/>
                <w:sz w:val="18"/>
                <w:szCs w:val="18"/>
                <w:color w:val="auto"/>
              </w:rPr>
              <w:t>96.14</w:t>
            </w:r>
          </w:p>
        </w:tc>
        <w:tc>
          <w:tcPr>
            <w:tcW w:w="2980" w:type="dxa"/>
            <w:vAlign w:val="bottom"/>
            <w:tcBorders>
              <w:bottom w:val="single" w:sz="8" w:color="47829E"/>
              <w:right w:val="single" w:sz="8" w:color="47829E"/>
            </w:tcBorders>
          </w:tcPr>
          <w:p>
            <w:pPr>
              <w:jc w:val="right"/>
              <w:ind w:right="212"/>
              <w:spacing w:after="0" w:line="202" w:lineRule="exact"/>
              <w:rPr>
                <w:sz w:val="20"/>
                <w:szCs w:val="20"/>
                <w:color w:val="auto"/>
              </w:rPr>
            </w:pPr>
            <w:r>
              <w:rPr>
                <w:rFonts w:ascii="Arial" w:cs="Arial" w:eastAsia="Arial" w:hAnsi="Arial"/>
                <w:sz w:val="18"/>
                <w:szCs w:val="18"/>
                <w:color w:val="auto"/>
              </w:rPr>
              <w:t>2,515,966</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20" w:right="200" w:hanging="112"/>
        <w:spacing w:after="0" w:line="198" w:lineRule="auto"/>
        <w:tabs>
          <w:tab w:leader="none" w:pos="120"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Includes 737,752 stock options that have a weighted-average exercise price of $112.56; 335,618 restricted stock units that have a $0 exercise price; and 27,608 stock units granted in accordance with Martin Marietta’s Incentive Stock Plan that are credited to participants at an average weighted cost of $81.29. The restricted stock units and stock units granted in accordance with Martin Marietta’s Incentive Stock Plan represent Martin Marietta’s obligation to issue shares in the future subject to certain conditions in accordance with Martin Marietta’s Stock-Based Award Plan.</w:t>
      </w:r>
    </w:p>
    <w:p>
      <w:pPr>
        <w:ind w:left="120" w:hanging="112"/>
        <w:spacing w:after="0" w:line="218" w:lineRule="auto"/>
        <w:tabs>
          <w:tab w:leader="none" w:pos="12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Represents stock options granted to legacy TXI employees.</w:t>
      </w:r>
    </w:p>
    <w:p>
      <w:pPr>
        <w:ind w:left="120" w:hanging="112"/>
        <w:spacing w:after="0" w:line="218" w:lineRule="auto"/>
        <w:tabs>
          <w:tab w:leader="none" w:pos="12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The weighted-average exercise price does not take into account the restricted stock units and stock units for which there is no exercise price.</w:t>
      </w:r>
    </w:p>
    <w:p>
      <w:pPr>
        <w:spacing w:after="0" w:line="68" w:lineRule="exact"/>
        <w:rPr>
          <w:sz w:val="20"/>
          <w:szCs w:val="20"/>
          <w:color w:val="auto"/>
        </w:rPr>
      </w:pPr>
    </w:p>
    <w:p>
      <w:pPr>
        <w:ind w:left="120" w:right="160" w:hanging="112"/>
        <w:spacing w:after="0" w:line="202" w:lineRule="auto"/>
        <w:tabs>
          <w:tab w:leader="none" w:pos="12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Includes shares of Martin Marietta’s common stock available for issuance (other than those reported in column (a)) under Martin Marietta’s equity compensation plans as of December 31, 2014 in the following amounts: Directors’ Plan (156,454 shares), Stock-Based Award Plan (303,010 shares), and Shareholder Value Achievement Plan (207,975 shares). Also excludes Texas Industries Inc. stock-based award plans (1,848,527 shares). The Directors’ Plan provides that nonemployee directors may elect to receive all or a portion of their fees in the form of common stock. Under the Achievement Plan, awards can be granted to key senior employees based on certain common stock performance over a long-term period. No awards have been granted under this plan since 2000.</w:t>
      </w:r>
    </w:p>
    <w:p>
      <w:pPr>
        <w:ind w:left="120" w:hanging="112"/>
        <w:spacing w:after="0" w:line="219" w:lineRule="auto"/>
        <w:tabs>
          <w:tab w:leader="none" w:pos="12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Represents shares of Martin Marietta’s common stock available for issuance to legacy TXI employees.</w:t>
      </w:r>
    </w:p>
    <w:p>
      <w:pPr>
        <w:spacing w:after="0" w:line="153"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On July 1, 2014, in conjunction with the merger of Texas Industries, Inc. (TXI) into a wholly-owned subsidiary of Martin Marietta, the Company assumed the TXI 2004 Omnibus Equity Compensation Plan (the TXI Legacy Plan) and TXI’s Management Deferred Compensation Plan (the TXI DC Plan) and shares available for future issuance under the TXI Legacy Plan and the TXI DC Plan following the merger.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TXI Legacy Plan</w:t>
      </w:r>
    </w:p>
    <w:p>
      <w:pPr>
        <w:spacing w:after="0" w:line="18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TXI Legacy Plan became effective as of July 11, 2012 and will terminate on July 11, 2022 unless sooner terminated. All legacy employees of TXI and its affiliates and subsidiaries are eligible to receive awards.</w:t>
      </w:r>
    </w:p>
    <w:p>
      <w:pPr>
        <w:spacing w:after="0" w:line="155"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The Company’s Management Development and Compensation Committee (the Committee) may grant incentive stock options and non-qualified stock options and stock appreciation rights (either alone or in tandem with options) under the TXI Legacy Plan. These awards may have terms of up to ten years from the date of grant. The Committee may award restricted stock and restricted stock units, subject to such vesting schedules, limitations on transfer and other restrictions as the Committee may determine. The Committee may award performance units and performance shares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40"/>
          </w:cols>
          <w:pgMar w:left="240" w:top="271" w:right="219" w:bottom="1440" w:gutter="0" w:footer="0" w:header="0"/>
        </w:sectPr>
      </w:pPr>
    </w:p>
    <w:bookmarkStart w:id="61" w:name="page62"/>
    <w:bookmarkEnd w:id="61"/>
    <w:p>
      <w:pPr>
        <w:jc w:val="both"/>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participants under the TXI Legacy Plan. Performance units have an initial value determined by the Committee, while performance shares will have an initial value based on the fair market value of the stock on the date of grant. Such awards will be earned only if performance goals over performance periods established by or under the direction of the Committee are met.</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Subject to the terms of the TXI Legacy Plan, the Committee may grant other equity-based awards on such terms as it may determine. The Committee may establish performance goals in its discretion. Such awards may involve the transfer of actual shares to participants or the payment in cash or otherwise of amounts based on the value of shares.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Martin Marietta is dissolved or liquidated, or if substantially all of its assets are sold or there is a merger or consolidation and the acquiring or surviving entity does not substitute equivalent awards for the awards then outstanding, each award granted under the TXI Legacy Plan will become fully vested and exercisable and all restrictions on it will lapse. All options and stock appreciation rights not exercised upon the occurrence of such a corporate event will terminate, and the Company may, in its discretion cancel all other awards then outstanding and pay the award holder its then current value as determined by the Committee.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Deferred Compensation Plan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TXI DC Plan became effective as of July 11, 2012 and will terminate on July 11, 2022 unless sooner terminated. Key management legacy employees of TXI, its subsidiaries and its affiliates are eligible to participate in the TXI DC Plan. Under the terms of the TXI DC Plan, participants may elect each year to defer all or a portion of their eligible compensation received during that year.</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lieu of receiving the compensation being deferred, participants will be awarded restricted stock units. At the discretion of the Committee, a participant may be entitled to receive dividend equivalents with respect to dividends declared on shares of common stock. The Committee may determine that additional awards of matching restricted stock units will be made to participants and the rate at which matching restricted stock units will be awarded. The matching restricted stock units will have the same deferral period and forfeiture and cancelation provisions as the restricted stock units that are being matched, except that matching restricted stock units may vest in accordance with such schedule as the Committee may determine.</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Martin Marietta is dissolved or liquidated, or if substantially all of its assets are sold (or there is a merger or consolidation) and the acquiring or surviving entity does not substitute equivalent awards for the awards then outstanding, each award granted under the TXI DC Plan will become fully vested and all restrictions on it will lapse.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9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INCORPORATION BY REFERENCE</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Audit Committee Report beginning on page 24 and the Management Development and Compensation Committee Report beginning on page 25 do not constitute soliciting material and should not be deemed filed or incorporated by reference into any other filing by Martin Marietta under the Securities Act of 1933 or the Securities Exchange Act of 1934, or subject to Regulation 14A or to the liabilities of Section 18 of the Exchange Act, except to the extent that Martin Marietta specifically requests that the information be treated as soliciting material or specifically incorporates such information by reference.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SHAREHOLDERS’ PROPOSALS FOR 2016 ANNUAL MEETING</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Proposals by shareholders intended to be presented at the 2016 Annual Meeting of Shareholders of Martin Marietta must be received by the Secretary of Martin Marietta no later than December 21, 2015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Martin Marietta establish an advance notice requirement for any proposal of business to be considered at an annual meeting of shareholders, including the nomination of any person for election as Director. In general, written notice must be received by the Secretary of Martin Marietta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2015 Annual Meeting of Shareholders, proposals must be received by the Secretary of Martin Marietta no earlier than January 17, 2016 and no later than February 16, 2016. Any waiver by Martin Marietta of these requirements with respect to the submission of a particular shareholder proposal shall not constitute a waiver with respect to the submission of any other shareholder proposal nor shall it obligate Martin Marietta to waive these requirements with respect to future submissions of the shareholder proposal or any other shareholder proposal. Any shareholder desiring a copy of the Bylaws of Martin Marietta will be furnished one without charge upon written request to the Secretary of Martin Marietta at its principal executive office, 2710 Wycliff Road, Raleigh, North Carolina 27607.</w:t>
      </w:r>
    </w:p>
    <w:p>
      <w:pPr>
        <w:spacing w:after="0" w:line="31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MARTIN MARIETTA MATERIALS,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April 16, 2015</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56"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MARTIN MARIETTA</w:t>
      </w:r>
    </w:p>
    <w:p>
      <w:pPr>
        <w:jc w:val="center"/>
        <w:spacing w:after="0"/>
        <w:rPr>
          <w:sz w:val="20"/>
          <w:szCs w:val="20"/>
          <w:color w:val="auto"/>
        </w:rPr>
      </w:pPr>
      <w:r>
        <w:rPr>
          <w:rFonts w:ascii="Arial" w:cs="Arial" w:eastAsia="Arial" w:hAnsi="Arial"/>
          <w:sz w:val="22"/>
          <w:szCs w:val="22"/>
          <w:b w:val="1"/>
          <w:bCs w:val="1"/>
          <w:color w:val="47829E"/>
        </w:rPr>
        <w:t>GUIDELINES FOR POTENTIAL NEW BOARD MEMBERS</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u w:val="single" w:color="auto"/>
          <w:color w:val="auto"/>
        </w:rPr>
        <w:t>Preamble</w:t>
      </w:r>
      <w:r>
        <w:rPr>
          <w:rFonts w:ascii="Arial" w:cs="Arial" w:eastAsia="Arial" w:hAnsi="Arial"/>
          <w:sz w:val="18"/>
          <w:szCs w:val="18"/>
          <w:i w:val="1"/>
          <w:iCs w:val="1"/>
          <w:color w:val="auto"/>
        </w:rPr>
        <w:t>: The following considerations are one of the tools used to assist the Nominating and Corporate Governance Committee in the exercise of its responsibility to evaluate the suitability of new potential candidates for the Board of Directors, consistent with any criteria set out in Martin Marietta’s Corporate Governance Guidelines. In evaluating a new potential candidate who is not an employee or former employee of Martin Marietta,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Martin Marietta’s Articles of Incorporation or Bylaws. The guidelines are subject to modification from time to time by the Nominating and Corporate Governance Committee.</w:t>
      </w:r>
    </w:p>
    <w:p>
      <w:pPr>
        <w:spacing w:after="0" w:line="78" w:lineRule="exact"/>
        <w:rPr>
          <w:sz w:val="20"/>
          <w:szCs w:val="20"/>
          <w:color w:val="auto"/>
        </w:rPr>
      </w:pPr>
    </w:p>
    <w:p>
      <w:pPr>
        <w:ind w:left="460" w:hanging="354"/>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Candidates should have a long-term history of the highest integrity and should ascribe fully to the ethics program of Martin Marietta.</w:t>
      </w:r>
    </w:p>
    <w:p>
      <w:pPr>
        <w:spacing w:after="0" w:line="76" w:lineRule="exact"/>
        <w:rPr>
          <w:rFonts w:ascii="Arial" w:cs="Arial" w:eastAsia="Arial" w:hAnsi="Arial"/>
          <w:sz w:val="18"/>
          <w:szCs w:val="18"/>
          <w:color w:val="auto"/>
        </w:rPr>
      </w:pPr>
    </w:p>
    <w:p>
      <w:pPr>
        <w:ind w:left="460" w:hanging="354"/>
        <w:spacing w:after="0" w:line="239"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Candidates should be experienced, seasoned and have mature business judgment. It would be desirable if they are still active in their careers.</w:t>
      </w:r>
    </w:p>
    <w:p>
      <w:pPr>
        <w:spacing w:after="0" w:line="73" w:lineRule="exact"/>
        <w:rPr>
          <w:rFonts w:ascii="Arial" w:cs="Arial" w:eastAsia="Arial" w:hAnsi="Arial"/>
          <w:sz w:val="18"/>
          <w:szCs w:val="18"/>
          <w:color w:val="auto"/>
        </w:rPr>
      </w:pPr>
    </w:p>
    <w:p>
      <w:pPr>
        <w:ind w:left="460" w:hanging="354"/>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Consideration should be given to matching the geographic base of the candidate with the geographic coverage of Martin Marietta.</w:t>
      </w:r>
    </w:p>
    <w:p>
      <w:pPr>
        <w:spacing w:after="0" w:line="76" w:lineRule="exact"/>
        <w:rPr>
          <w:rFonts w:ascii="Arial" w:cs="Arial" w:eastAsia="Arial" w:hAnsi="Arial"/>
          <w:sz w:val="18"/>
          <w:szCs w:val="18"/>
          <w:color w:val="auto"/>
        </w:rPr>
      </w:pPr>
    </w:p>
    <w:p>
      <w:pPr>
        <w:ind w:left="460" w:hanging="354"/>
        <w:spacing w:after="0" w:line="239"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Consideration should be given to diversity on the Board. Such diversity may include type of experience, education, skill sets, ethnic origin, gender and other items that will enable the Board to have a broad knowledge base and diverse viewpoints.</w:t>
      </w:r>
    </w:p>
    <w:p>
      <w:pPr>
        <w:spacing w:after="0" w:line="73" w:lineRule="exact"/>
        <w:rPr>
          <w:rFonts w:ascii="Arial" w:cs="Arial" w:eastAsia="Arial" w:hAnsi="Arial"/>
          <w:sz w:val="18"/>
          <w:szCs w:val="18"/>
          <w:color w:val="auto"/>
        </w:rPr>
      </w:pPr>
    </w:p>
    <w:p>
      <w:pPr>
        <w:ind w:left="460" w:hanging="354"/>
        <w:spacing w:after="0" w:line="239"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Generally, candidates should not come from firms or companies that are significant sellers or buyers of goods and services to or from Martin Marietta.</w:t>
      </w:r>
    </w:p>
    <w:p>
      <w:pPr>
        <w:spacing w:after="0" w:line="73" w:lineRule="exact"/>
        <w:rPr>
          <w:rFonts w:ascii="Arial" w:cs="Arial" w:eastAsia="Arial" w:hAnsi="Arial"/>
          <w:sz w:val="18"/>
          <w:szCs w:val="18"/>
          <w:color w:val="auto"/>
        </w:rPr>
      </w:pPr>
    </w:p>
    <w:p>
      <w:pPr>
        <w:jc w:val="both"/>
        <w:ind w:left="460" w:hanging="354"/>
        <w:spacing w:after="0" w:line="23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Candidates who would serve on Martin Marietta’s Audit Committee, Nominating and Corporate Governance Committee, or Management Development and Compensation Committee should be “independent” as defined by the Securities and Exchange Commission, the New York Stock Exchange and Martin Marietta’s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w:t>
      </w:r>
    </w:p>
    <w:p>
      <w:pPr>
        <w:spacing w:after="0" w:line="72" w:lineRule="exact"/>
        <w:rPr>
          <w:rFonts w:ascii="Arial" w:cs="Arial" w:eastAsia="Arial" w:hAnsi="Arial"/>
          <w:sz w:val="18"/>
          <w:szCs w:val="18"/>
          <w:color w:val="auto"/>
        </w:rPr>
      </w:pPr>
    </w:p>
    <w:p>
      <w:pPr>
        <w:jc w:val="both"/>
        <w:ind w:left="460" w:hanging="354"/>
        <w:spacing w:after="0" w:line="23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Given the nature of Board governance, the background and expertise of candidates should reflect the skill needs of the Board and Martin Marietta. With the Securities and Exchange Commission requirements with respect to audit committees and the financial nature of much of what the Board is responsible for, a significant number of Board members need to have strong financial knowledge.</w:t>
      </w:r>
    </w:p>
    <w:p>
      <w:pPr>
        <w:spacing w:after="0" w:line="72" w:lineRule="exact"/>
        <w:rPr>
          <w:rFonts w:ascii="Arial" w:cs="Arial" w:eastAsia="Arial" w:hAnsi="Arial"/>
          <w:sz w:val="18"/>
          <w:szCs w:val="18"/>
          <w:color w:val="auto"/>
        </w:rPr>
      </w:pPr>
    </w:p>
    <w:p>
      <w:pPr>
        <w:jc w:val="both"/>
        <w:ind w:left="460" w:right="20" w:hanging="354"/>
        <w:spacing w:after="0" w:line="23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Martin Marietta operates, and other areas of importance to Martin Marietta.</w:t>
      </w:r>
    </w:p>
    <w:p>
      <w:pPr>
        <w:spacing w:after="0" w:line="72" w:lineRule="exact"/>
        <w:rPr>
          <w:rFonts w:ascii="Arial" w:cs="Arial" w:eastAsia="Arial" w:hAnsi="Arial"/>
          <w:sz w:val="18"/>
          <w:szCs w:val="18"/>
          <w:color w:val="auto"/>
        </w:rPr>
      </w:pPr>
    </w:p>
    <w:p>
      <w:pPr>
        <w:ind w:left="460" w:hanging="354"/>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Public company experience is highly desirable.</w:t>
      </w:r>
    </w:p>
    <w:p>
      <w:pPr>
        <w:spacing w:after="0" w:line="76" w:lineRule="exact"/>
        <w:rPr>
          <w:rFonts w:ascii="Arial" w:cs="Arial" w:eastAsia="Arial" w:hAnsi="Arial"/>
          <w:sz w:val="18"/>
          <w:szCs w:val="18"/>
          <w:color w:val="auto"/>
        </w:rPr>
      </w:pPr>
    </w:p>
    <w:p>
      <w:pPr>
        <w:ind w:left="460" w:right="20" w:hanging="452"/>
        <w:spacing w:after="0" w:line="239"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Candidates from education or nonprofit organizations will be considered where there is a specific priority need identified by the Board and where such a candidate can add value.</w:t>
      </w:r>
    </w:p>
    <w:p>
      <w:pPr>
        <w:spacing w:after="0" w:line="73" w:lineRule="exact"/>
        <w:rPr>
          <w:rFonts w:ascii="Arial" w:cs="Arial" w:eastAsia="Arial" w:hAnsi="Arial"/>
          <w:sz w:val="18"/>
          <w:szCs w:val="18"/>
          <w:color w:val="auto"/>
        </w:rPr>
      </w:pPr>
    </w:p>
    <w:p>
      <w:pPr>
        <w:ind w:left="460" w:right="20" w:hanging="452"/>
        <w:spacing w:after="0" w:line="239"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Board candidates ideally would serve on no more than three for-profit boards inclusive of Martin Marietta Materials to assure adequate time to discharge the duties of a Board member.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56" w:right="239"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47829E"/>
        </w:rPr>
        <w:t>RECONCILIATION OF NON-GAAP MEASURES</w:t>
      </w:r>
    </w:p>
    <w:p>
      <w:pPr>
        <w:spacing w:after="0" w:line="162"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Gross margin as a percentage of net sales represents a non-GAAP measure. The Company presents this ratio based on net sales, as it is consistent with the basis by which management reviews the Company’s operating results. Management believes it is consistent with the basis by which investors analyze the Company’s operating results given that freight and delivery revenues and costs represent pass-throughs and have no profit mark-up. Gross margin calculated as percentages of total revenues represents the most directly comparable financial measure calculated in accordance with generally accepted accounting principles (GAAP).</w:t>
      </w:r>
    </w:p>
    <w:p>
      <w:pPr>
        <w:spacing w:after="0" w:line="15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EBITDA is a widely accepted financial indicator of a company’s ability to service and/or incur indebtedness. EBITDA is not defined by GAAP and, as such, should not be construed as an alternative to net earnings or operating cash flow.</w:t>
      </w:r>
    </w:p>
    <w:p>
      <w:pPr>
        <w:spacing w:after="0" w:line="15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Adjusted earnings per diluted share (“Adjusted EPS”) for the year ended December 31, 2014, is a non-GAAP measure that excludes the impact of TXI acquisition-related expenses, net, and the impact of the write-up of acquired inventory to fair value. The Company presents this measure to allow investors to analyze and forecast the Company’s operating results given that these costs are nonrecurring.</w:t>
      </w:r>
    </w:p>
    <w:p>
      <w:pPr>
        <w:spacing w:after="0" w:line="15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following presents (i) the calculations of gross margin for the years ended December 31, 2014 and 2013 in accordance with GAAP and reconciliations of the ratios as percentages of total revenues to percentages of net sales; (ii) a reconciliation of net earnings attributable to Martin Marietta to consolidated EBITDA for the years ended December 31, 2014 and 2013; and (iii) the reconciliation of earnings per diluted share to Adjusted EPS for the year ended December 31, 2014.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all tables, dollars, other than per share amounts, in thousands)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Gross Margin in Accordance with GAAP for years ended December 31:</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980" w:type="dxa"/>
            <w:vAlign w:val="bottom"/>
            <w:tcBorders>
              <w:left w:val="single" w:sz="8" w:color="47829E"/>
            </w:tcBorders>
            <w:shd w:val="clear" w:color="auto" w:fill="47829E"/>
          </w:tcPr>
          <w:p>
            <w:pPr>
              <w:spacing w:after="0"/>
              <w:rPr>
                <w:sz w:val="22"/>
                <w:szCs w:val="22"/>
                <w:color w:val="auto"/>
              </w:rPr>
            </w:pPr>
          </w:p>
        </w:tc>
        <w:tc>
          <w:tcPr>
            <w:tcW w:w="1840" w:type="dxa"/>
            <w:vAlign w:val="bottom"/>
            <w:tcBorders>
              <w:right w:val="single" w:sz="8" w:color="47829E"/>
            </w:tcBorders>
            <w:shd w:val="clear" w:color="auto" w:fill="47829E"/>
          </w:tcPr>
          <w:p>
            <w:pPr>
              <w:spacing w:after="0"/>
              <w:rPr>
                <w:sz w:val="22"/>
                <w:szCs w:val="22"/>
                <w:color w:val="auto"/>
              </w:rPr>
            </w:pPr>
          </w:p>
        </w:tc>
        <w:tc>
          <w:tcPr>
            <w:tcW w:w="640" w:type="dxa"/>
            <w:vAlign w:val="bottom"/>
            <w:shd w:val="clear" w:color="auto" w:fill="47829E"/>
          </w:tcPr>
          <w:p>
            <w:pPr>
              <w:spacing w:after="0"/>
              <w:rPr>
                <w:sz w:val="22"/>
                <w:szCs w:val="22"/>
                <w:color w:val="auto"/>
              </w:rPr>
            </w:pPr>
          </w:p>
        </w:tc>
        <w:tc>
          <w:tcPr>
            <w:tcW w:w="420" w:type="dxa"/>
            <w:vAlign w:val="bottom"/>
            <w:shd w:val="clear" w:color="auto" w:fill="47829E"/>
          </w:tcPr>
          <w:p>
            <w:pPr>
              <w:spacing w:after="0"/>
              <w:rPr>
                <w:sz w:val="22"/>
                <w:szCs w:val="22"/>
                <w:color w:val="auto"/>
              </w:rPr>
            </w:pPr>
          </w:p>
        </w:tc>
        <w:tc>
          <w:tcPr>
            <w:tcW w:w="960" w:type="dxa"/>
            <w:vAlign w:val="bottom"/>
            <w:shd w:val="clear" w:color="auto" w:fill="47829E"/>
          </w:tcPr>
          <w:p>
            <w:pPr>
              <w:jc w:val="right"/>
              <w:ind w:right="412"/>
              <w:spacing w:after="0"/>
              <w:rPr>
                <w:sz w:val="20"/>
                <w:szCs w:val="20"/>
                <w:color w:val="auto"/>
              </w:rPr>
            </w:pPr>
            <w:r>
              <w:rPr>
                <w:rFonts w:ascii="Arial" w:cs="Arial" w:eastAsia="Arial" w:hAnsi="Arial"/>
                <w:sz w:val="18"/>
                <w:szCs w:val="18"/>
                <w:b w:val="1"/>
                <w:bCs w:val="1"/>
                <w:color w:val="FFFFFF"/>
              </w:rPr>
              <w:t>2014</w:t>
            </w:r>
          </w:p>
        </w:tc>
        <w:tc>
          <w:tcPr>
            <w:tcW w:w="240" w:type="dxa"/>
            <w:vAlign w:val="bottom"/>
            <w:tcBorders>
              <w:right w:val="single" w:sz="8" w:color="47829E"/>
            </w:tcBorders>
            <w:shd w:val="clear" w:color="auto" w:fill="47829E"/>
          </w:tcPr>
          <w:p>
            <w:pPr>
              <w:spacing w:after="0"/>
              <w:rPr>
                <w:sz w:val="22"/>
                <w:szCs w:val="22"/>
                <w:color w:val="auto"/>
              </w:rPr>
            </w:pPr>
          </w:p>
        </w:tc>
        <w:tc>
          <w:tcPr>
            <w:tcW w:w="640" w:type="dxa"/>
            <w:vAlign w:val="bottom"/>
            <w:shd w:val="clear" w:color="auto" w:fill="47829E"/>
          </w:tcPr>
          <w:p>
            <w:pPr>
              <w:spacing w:after="0"/>
              <w:rPr>
                <w:sz w:val="22"/>
                <w:szCs w:val="22"/>
                <w:color w:val="auto"/>
              </w:rPr>
            </w:pPr>
          </w:p>
        </w:tc>
        <w:tc>
          <w:tcPr>
            <w:tcW w:w="300" w:type="dxa"/>
            <w:vAlign w:val="bottom"/>
            <w:shd w:val="clear" w:color="auto" w:fill="47829E"/>
          </w:tcPr>
          <w:p>
            <w:pPr>
              <w:spacing w:after="0"/>
              <w:rPr>
                <w:sz w:val="22"/>
                <w:szCs w:val="22"/>
                <w:color w:val="auto"/>
              </w:rPr>
            </w:pPr>
          </w:p>
        </w:tc>
        <w:tc>
          <w:tcPr>
            <w:tcW w:w="1080" w:type="dxa"/>
            <w:vAlign w:val="bottom"/>
            <w:shd w:val="clear" w:color="auto" w:fill="47829E"/>
          </w:tcPr>
          <w:p>
            <w:pPr>
              <w:jc w:val="right"/>
              <w:ind w:right="412"/>
              <w:spacing w:after="0"/>
              <w:rPr>
                <w:sz w:val="20"/>
                <w:szCs w:val="20"/>
                <w:color w:val="auto"/>
              </w:rPr>
            </w:pPr>
            <w:r>
              <w:rPr>
                <w:rFonts w:ascii="Arial" w:cs="Arial" w:eastAsia="Arial" w:hAnsi="Arial"/>
                <w:sz w:val="18"/>
                <w:szCs w:val="18"/>
                <w:b w:val="1"/>
                <w:bCs w:val="1"/>
                <w:color w:val="FFFFFF"/>
              </w:rPr>
              <w:t>2013</w:t>
            </w:r>
          </w:p>
        </w:tc>
        <w:tc>
          <w:tcPr>
            <w:tcW w:w="340" w:type="dxa"/>
            <w:vAlign w:val="bottom"/>
            <w:tcBorders>
              <w:right w:val="single" w:sz="8" w:color="47829E"/>
            </w:tcBorders>
            <w:shd w:val="clear" w:color="auto" w:fill="47829E"/>
          </w:tcPr>
          <w:p>
            <w:pPr>
              <w:spacing w:after="0"/>
              <w:rPr>
                <w:sz w:val="22"/>
                <w:szCs w:val="22"/>
                <w:color w:val="auto"/>
              </w:rPr>
            </w:pPr>
          </w:p>
        </w:tc>
      </w:tr>
      <w:tr>
        <w:trPr>
          <w:trHeight w:val="203"/>
        </w:trPr>
        <w:tc>
          <w:tcPr>
            <w:tcW w:w="4980" w:type="dxa"/>
            <w:vAlign w:val="bottom"/>
            <w:tcBorders>
              <w:left w:val="single" w:sz="8" w:color="47829E"/>
            </w:tcBorders>
          </w:tcPr>
          <w:p>
            <w:pPr>
              <w:ind w:left="120"/>
              <w:spacing w:after="0" w:line="202" w:lineRule="exact"/>
              <w:rPr>
                <w:sz w:val="20"/>
                <w:szCs w:val="20"/>
                <w:color w:val="auto"/>
              </w:rPr>
            </w:pPr>
            <w:r>
              <w:rPr>
                <w:rFonts w:ascii="Arial" w:cs="Arial" w:eastAsia="Arial" w:hAnsi="Arial"/>
                <w:sz w:val="18"/>
                <w:szCs w:val="18"/>
                <w:color w:val="auto"/>
              </w:rPr>
              <w:t>Gross profit</w:t>
            </w:r>
          </w:p>
        </w:tc>
        <w:tc>
          <w:tcPr>
            <w:tcW w:w="1840" w:type="dxa"/>
            <w:vAlign w:val="bottom"/>
            <w:tcBorders>
              <w:right w:val="single" w:sz="8" w:color="47829E"/>
            </w:tcBorders>
          </w:tcPr>
          <w:p>
            <w:pPr>
              <w:spacing w:after="0"/>
              <w:rPr>
                <w:sz w:val="17"/>
                <w:szCs w:val="17"/>
                <w:color w:val="auto"/>
              </w:rPr>
            </w:pPr>
          </w:p>
        </w:tc>
        <w:tc>
          <w:tcPr>
            <w:tcW w:w="1060" w:type="dxa"/>
            <w:vAlign w:val="bottom"/>
            <w:gridSpan w:val="2"/>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522,360</w:t>
            </w:r>
          </w:p>
        </w:tc>
        <w:tc>
          <w:tcPr>
            <w:tcW w:w="240" w:type="dxa"/>
            <w:vAlign w:val="bottom"/>
            <w:tcBorders>
              <w:right w:val="single" w:sz="8" w:color="47829E"/>
            </w:tcBorders>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363,957</w:t>
            </w:r>
          </w:p>
        </w:tc>
        <w:tc>
          <w:tcPr>
            <w:tcW w:w="340" w:type="dxa"/>
            <w:vAlign w:val="bottom"/>
            <w:tcBorders>
              <w:right w:val="single" w:sz="8" w:color="47829E"/>
            </w:tcBorders>
          </w:tcPr>
          <w:p>
            <w:pPr>
              <w:spacing w:after="0"/>
              <w:rPr>
                <w:sz w:val="17"/>
                <w:szCs w:val="17"/>
                <w:color w:val="auto"/>
              </w:rPr>
            </w:pPr>
          </w:p>
        </w:tc>
      </w:tr>
      <w:tr>
        <w:trPr>
          <w:trHeight w:val="20"/>
        </w:trPr>
        <w:tc>
          <w:tcPr>
            <w:tcW w:w="4980" w:type="dxa"/>
            <w:vAlign w:val="bottom"/>
            <w:tcBorders>
              <w:left w:val="single" w:sz="8" w:color="47829E"/>
            </w:tcBorders>
          </w:tcPr>
          <w:p>
            <w:pPr>
              <w:spacing w:after="0" w:line="20" w:lineRule="exact"/>
              <w:rPr>
                <w:sz w:val="1"/>
                <w:szCs w:val="1"/>
                <w:color w:val="auto"/>
              </w:rPr>
            </w:pPr>
          </w:p>
        </w:tc>
        <w:tc>
          <w:tcPr>
            <w:tcW w:w="18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47829E"/>
            </w:tcBorders>
          </w:tcPr>
          <w:p>
            <w:pPr>
              <w:spacing w:after="0" w:line="20" w:lineRule="exact"/>
              <w:rPr>
                <w:sz w:val="1"/>
                <w:szCs w:val="1"/>
                <w:color w:val="auto"/>
              </w:rPr>
            </w:pPr>
          </w:p>
        </w:tc>
      </w:tr>
      <w:tr>
        <w:trPr>
          <w:trHeight w:val="197"/>
        </w:trPr>
        <w:tc>
          <w:tcPr>
            <w:tcW w:w="4980" w:type="dxa"/>
            <w:vAlign w:val="bottom"/>
            <w:tcBorders>
              <w:left w:val="single" w:sz="8" w:color="47829E"/>
            </w:tcBorders>
            <w:shd w:val="clear" w:color="auto" w:fill="E3ECF0"/>
          </w:tcPr>
          <w:p>
            <w:pPr>
              <w:ind w:left="120"/>
              <w:spacing w:after="0" w:line="196" w:lineRule="exact"/>
              <w:rPr>
                <w:sz w:val="20"/>
                <w:szCs w:val="20"/>
                <w:color w:val="auto"/>
              </w:rPr>
            </w:pPr>
            <w:r>
              <w:rPr>
                <w:rFonts w:ascii="Arial" w:cs="Arial" w:eastAsia="Arial" w:hAnsi="Arial"/>
                <w:sz w:val="18"/>
                <w:szCs w:val="18"/>
                <w:color w:val="auto"/>
              </w:rPr>
              <w:t>Total revenues</w:t>
            </w:r>
          </w:p>
        </w:tc>
        <w:tc>
          <w:tcPr>
            <w:tcW w:w="1840" w:type="dxa"/>
            <w:vAlign w:val="bottom"/>
            <w:tcBorders>
              <w:right w:val="single" w:sz="8" w:color="47829E"/>
            </w:tcBorders>
            <w:shd w:val="clear" w:color="auto" w:fill="E3ECF0"/>
          </w:tcPr>
          <w:p>
            <w:pPr>
              <w:spacing w:after="0"/>
              <w:rPr>
                <w:sz w:val="17"/>
                <w:szCs w:val="17"/>
                <w:color w:val="auto"/>
              </w:rPr>
            </w:pPr>
          </w:p>
        </w:tc>
        <w:tc>
          <w:tcPr>
            <w:tcW w:w="640" w:type="dxa"/>
            <w:vAlign w:val="bottom"/>
            <w:shd w:val="clear" w:color="auto" w:fill="E3ECF0"/>
          </w:tcPr>
          <w:p>
            <w:pPr>
              <w:spacing w:after="0"/>
              <w:rPr>
                <w:sz w:val="17"/>
                <w:szCs w:val="17"/>
                <w:color w:val="auto"/>
              </w:rPr>
            </w:pPr>
          </w:p>
        </w:tc>
        <w:tc>
          <w:tcPr>
            <w:tcW w:w="420" w:type="dxa"/>
            <w:vAlign w:val="bottom"/>
            <w:shd w:val="clear" w:color="auto" w:fill="E3ECF0"/>
          </w:tcPr>
          <w:p>
            <w:pPr>
              <w:jc w:val="right"/>
              <w:ind w:right="232"/>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3ECF0"/>
          </w:tcPr>
          <w:p>
            <w:pPr>
              <w:jc w:val="right"/>
              <w:spacing w:after="0" w:line="196" w:lineRule="exact"/>
              <w:rPr>
                <w:sz w:val="20"/>
                <w:szCs w:val="20"/>
                <w:color w:val="auto"/>
              </w:rPr>
            </w:pPr>
            <w:r>
              <w:rPr>
                <w:rFonts w:ascii="Arial" w:cs="Arial" w:eastAsia="Arial" w:hAnsi="Arial"/>
                <w:sz w:val="18"/>
                <w:szCs w:val="18"/>
                <w:color w:val="auto"/>
              </w:rPr>
              <w:t>2,957,951</w:t>
            </w:r>
          </w:p>
        </w:tc>
        <w:tc>
          <w:tcPr>
            <w:tcW w:w="240" w:type="dxa"/>
            <w:vAlign w:val="bottom"/>
            <w:tcBorders>
              <w:right w:val="single" w:sz="8" w:color="47829E"/>
            </w:tcBorders>
            <w:shd w:val="clear" w:color="auto" w:fill="E3ECF0"/>
          </w:tcPr>
          <w:p>
            <w:pPr>
              <w:spacing w:after="0"/>
              <w:rPr>
                <w:sz w:val="17"/>
                <w:szCs w:val="17"/>
                <w:color w:val="auto"/>
              </w:rPr>
            </w:pPr>
          </w:p>
        </w:tc>
        <w:tc>
          <w:tcPr>
            <w:tcW w:w="940" w:type="dxa"/>
            <w:vAlign w:val="bottom"/>
            <w:gridSpan w:val="2"/>
            <w:shd w:val="clear" w:color="auto" w:fill="E3ECF0"/>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E3ECF0"/>
          </w:tcPr>
          <w:p>
            <w:pPr>
              <w:jc w:val="right"/>
              <w:spacing w:after="0" w:line="196" w:lineRule="exact"/>
              <w:rPr>
                <w:sz w:val="20"/>
                <w:szCs w:val="20"/>
                <w:color w:val="auto"/>
              </w:rPr>
            </w:pPr>
            <w:r>
              <w:rPr>
                <w:rFonts w:ascii="Arial" w:cs="Arial" w:eastAsia="Arial" w:hAnsi="Arial"/>
                <w:sz w:val="18"/>
                <w:szCs w:val="18"/>
                <w:color w:val="auto"/>
              </w:rPr>
              <w:t>2,155,551</w:t>
            </w:r>
          </w:p>
        </w:tc>
        <w:tc>
          <w:tcPr>
            <w:tcW w:w="340" w:type="dxa"/>
            <w:vAlign w:val="bottom"/>
            <w:tcBorders>
              <w:right w:val="single" w:sz="8" w:color="47829E"/>
            </w:tcBorders>
            <w:shd w:val="clear" w:color="auto" w:fill="E3ECF0"/>
          </w:tcPr>
          <w:p>
            <w:pPr>
              <w:spacing w:after="0"/>
              <w:rPr>
                <w:sz w:val="17"/>
                <w:szCs w:val="17"/>
                <w:color w:val="auto"/>
              </w:rPr>
            </w:pPr>
          </w:p>
        </w:tc>
      </w:tr>
      <w:tr>
        <w:trPr>
          <w:trHeight w:val="20"/>
        </w:trPr>
        <w:tc>
          <w:tcPr>
            <w:tcW w:w="4980" w:type="dxa"/>
            <w:vAlign w:val="bottom"/>
            <w:tcBorders>
              <w:left w:val="single" w:sz="8" w:color="47829E"/>
            </w:tcBorders>
          </w:tcPr>
          <w:p>
            <w:pPr>
              <w:spacing w:after="0" w:line="20" w:lineRule="exact"/>
              <w:rPr>
                <w:sz w:val="1"/>
                <w:szCs w:val="1"/>
                <w:color w:val="auto"/>
              </w:rPr>
            </w:pPr>
          </w:p>
        </w:tc>
        <w:tc>
          <w:tcPr>
            <w:tcW w:w="18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47829E"/>
            </w:tcBorders>
          </w:tcPr>
          <w:p>
            <w:pPr>
              <w:spacing w:after="0" w:line="20" w:lineRule="exact"/>
              <w:rPr>
                <w:sz w:val="1"/>
                <w:szCs w:val="1"/>
                <w:color w:val="auto"/>
              </w:rPr>
            </w:pPr>
          </w:p>
        </w:tc>
      </w:tr>
      <w:tr>
        <w:trPr>
          <w:trHeight w:val="197"/>
        </w:trPr>
        <w:tc>
          <w:tcPr>
            <w:tcW w:w="4980" w:type="dxa"/>
            <w:vAlign w:val="bottom"/>
            <w:tcBorders>
              <w:left w:val="single" w:sz="8" w:color="47829E"/>
            </w:tcBorders>
          </w:tcPr>
          <w:p>
            <w:pPr>
              <w:ind w:left="120"/>
              <w:spacing w:after="0" w:line="196" w:lineRule="exact"/>
              <w:rPr>
                <w:sz w:val="20"/>
                <w:szCs w:val="20"/>
                <w:color w:val="auto"/>
              </w:rPr>
            </w:pPr>
            <w:r>
              <w:rPr>
                <w:rFonts w:ascii="Arial" w:cs="Arial" w:eastAsia="Arial" w:hAnsi="Arial"/>
                <w:sz w:val="18"/>
                <w:szCs w:val="18"/>
                <w:color w:val="auto"/>
              </w:rPr>
              <w:t>Gross margin</w:t>
            </w:r>
          </w:p>
        </w:tc>
        <w:tc>
          <w:tcPr>
            <w:tcW w:w="1840" w:type="dxa"/>
            <w:vAlign w:val="bottom"/>
            <w:tcBorders>
              <w:right w:val="single" w:sz="8" w:color="47829E"/>
            </w:tcBorders>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Borders>
              <w:right w:val="single" w:sz="8" w:color="47829E"/>
            </w:tcBorders>
            <w:gridSpan w:val="2"/>
          </w:tcPr>
          <w:p>
            <w:pPr>
              <w:jc w:val="right"/>
              <w:ind w:right="80"/>
              <w:spacing w:after="0" w:line="196" w:lineRule="exact"/>
              <w:rPr>
                <w:sz w:val="20"/>
                <w:szCs w:val="20"/>
                <w:color w:val="auto"/>
              </w:rPr>
            </w:pPr>
            <w:r>
              <w:rPr>
                <w:rFonts w:ascii="Arial" w:cs="Arial" w:eastAsia="Arial" w:hAnsi="Arial"/>
                <w:sz w:val="18"/>
                <w:szCs w:val="18"/>
                <w:color w:val="auto"/>
              </w:rPr>
              <w:t>17.7%</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47829E"/>
            </w:tcBorders>
            <w:gridSpan w:val="2"/>
          </w:tcPr>
          <w:p>
            <w:pPr>
              <w:jc w:val="right"/>
              <w:ind w:right="180"/>
              <w:spacing w:after="0" w:line="196" w:lineRule="exact"/>
              <w:rPr>
                <w:sz w:val="20"/>
                <w:szCs w:val="20"/>
                <w:color w:val="auto"/>
              </w:rPr>
            </w:pPr>
            <w:r>
              <w:rPr>
                <w:rFonts w:ascii="Arial" w:cs="Arial" w:eastAsia="Arial" w:hAnsi="Arial"/>
                <w:sz w:val="18"/>
                <w:szCs w:val="18"/>
                <w:color w:val="auto"/>
              </w:rPr>
              <w:t>16.9%</w:t>
            </w:r>
          </w:p>
        </w:tc>
      </w:tr>
      <w:tr>
        <w:trPr>
          <w:trHeight w:val="20"/>
        </w:trPr>
        <w:tc>
          <w:tcPr>
            <w:tcW w:w="6820" w:type="dxa"/>
            <w:vAlign w:val="bottom"/>
            <w:tcBorders>
              <w:left w:val="single" w:sz="8" w:color="47829E"/>
              <w:right w:val="single" w:sz="8" w:color="47829E"/>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47829E"/>
            </w:tcBorders>
          </w:tcPr>
          <w:p>
            <w:pPr>
              <w:spacing w:after="0" w:line="20" w:lineRule="exact"/>
              <w:rPr>
                <w:sz w:val="1"/>
                <w:szCs w:val="1"/>
                <w:color w:val="auto"/>
              </w:rPr>
            </w:pPr>
          </w:p>
        </w:tc>
      </w:tr>
      <w:tr>
        <w:trPr>
          <w:trHeight w:val="20"/>
        </w:trPr>
        <w:tc>
          <w:tcPr>
            <w:tcW w:w="6820" w:type="dxa"/>
            <w:vAlign w:val="bottom"/>
            <w:tcBorders>
              <w:left w:val="single" w:sz="8" w:color="47829E"/>
              <w:right w:val="single" w:sz="8" w:color="47829E"/>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right w:val="single" w:sz="8" w:color="47829E"/>
            </w:tcBorders>
          </w:tcPr>
          <w:p>
            <w:pPr>
              <w:spacing w:after="0" w:line="20" w:lineRule="exact"/>
              <w:rPr>
                <w:sz w:val="1"/>
                <w:szCs w:val="1"/>
                <w:color w:val="auto"/>
              </w:rPr>
            </w:pPr>
          </w:p>
        </w:tc>
      </w:tr>
      <w:tr>
        <w:trPr>
          <w:trHeight w:val="20"/>
        </w:trPr>
        <w:tc>
          <w:tcPr>
            <w:tcW w:w="6820" w:type="dxa"/>
            <w:vAlign w:val="bottom"/>
            <w:tcBorders>
              <w:left w:val="single" w:sz="8" w:color="47829E"/>
              <w:bottom w:val="single" w:sz="8" w:color="47829E"/>
              <w:right w:val="single" w:sz="8" w:color="47829E"/>
            </w:tcBorders>
            <w:gridSpan w:val="2"/>
          </w:tcPr>
          <w:p>
            <w:pPr>
              <w:spacing w:after="0" w:line="20" w:lineRule="exact"/>
              <w:rPr>
                <w:sz w:val="1"/>
                <w:szCs w:val="1"/>
                <w:color w:val="auto"/>
              </w:rPr>
            </w:pPr>
          </w:p>
        </w:tc>
        <w:tc>
          <w:tcPr>
            <w:tcW w:w="2260" w:type="dxa"/>
            <w:vAlign w:val="bottom"/>
            <w:tcBorders>
              <w:bottom w:val="single" w:sz="8" w:color="47829E"/>
              <w:right w:val="single" w:sz="8" w:color="47829E"/>
            </w:tcBorders>
            <w:gridSpan w:val="4"/>
          </w:tcPr>
          <w:p>
            <w:pPr>
              <w:spacing w:after="0" w:line="20" w:lineRule="exact"/>
              <w:rPr>
                <w:sz w:val="1"/>
                <w:szCs w:val="1"/>
                <w:color w:val="auto"/>
              </w:rPr>
            </w:pPr>
          </w:p>
        </w:tc>
        <w:tc>
          <w:tcPr>
            <w:tcW w:w="640" w:type="dxa"/>
            <w:vAlign w:val="bottom"/>
            <w:tcBorders>
              <w:bottom w:val="single" w:sz="8" w:color="47829E"/>
            </w:tcBorders>
          </w:tcPr>
          <w:p>
            <w:pPr>
              <w:spacing w:after="0" w:line="20" w:lineRule="exact"/>
              <w:rPr>
                <w:sz w:val="1"/>
                <w:szCs w:val="1"/>
                <w:color w:val="auto"/>
              </w:rPr>
            </w:pPr>
          </w:p>
        </w:tc>
        <w:tc>
          <w:tcPr>
            <w:tcW w:w="300" w:type="dxa"/>
            <w:vAlign w:val="bottom"/>
            <w:tcBorders>
              <w:bottom w:val="single" w:sz="8" w:color="47829E"/>
            </w:tcBorders>
          </w:tcPr>
          <w:p>
            <w:pPr>
              <w:spacing w:after="0" w:line="20" w:lineRule="exact"/>
              <w:rPr>
                <w:sz w:val="1"/>
                <w:szCs w:val="1"/>
                <w:color w:val="auto"/>
              </w:rPr>
            </w:pPr>
          </w:p>
        </w:tc>
        <w:tc>
          <w:tcPr>
            <w:tcW w:w="1080" w:type="dxa"/>
            <w:vAlign w:val="bottom"/>
            <w:tcBorders>
              <w:bottom w:val="single" w:sz="8" w:color="47829E"/>
            </w:tcBorders>
          </w:tcPr>
          <w:p>
            <w:pPr>
              <w:spacing w:after="0" w:line="20" w:lineRule="exact"/>
              <w:rPr>
                <w:sz w:val="1"/>
                <w:szCs w:val="1"/>
                <w:color w:val="auto"/>
              </w:rPr>
            </w:pPr>
          </w:p>
        </w:tc>
        <w:tc>
          <w:tcPr>
            <w:tcW w:w="340" w:type="dxa"/>
            <w:vAlign w:val="bottom"/>
            <w:tcBorders>
              <w:bottom w:val="single" w:sz="8" w:color="47829E"/>
              <w:right w:val="single" w:sz="8" w:color="47829E"/>
            </w:tcBorders>
          </w:tcPr>
          <w:p>
            <w:pPr>
              <w:spacing w:after="0" w:line="20" w:lineRule="exact"/>
              <w:rPr>
                <w:sz w:val="1"/>
                <w:szCs w:val="1"/>
                <w:color w:val="auto"/>
              </w:rPr>
            </w:pPr>
          </w:p>
        </w:tc>
      </w:tr>
      <w:tr>
        <w:trPr>
          <w:trHeight w:val="344"/>
        </w:trPr>
        <w:tc>
          <w:tcPr>
            <w:tcW w:w="9080" w:type="dxa"/>
            <w:vAlign w:val="bottom"/>
            <w:gridSpan w:val="6"/>
          </w:tcPr>
          <w:p>
            <w:pPr>
              <w:spacing w:after="0"/>
              <w:rPr>
                <w:sz w:val="20"/>
                <w:szCs w:val="20"/>
                <w:color w:val="auto"/>
              </w:rPr>
            </w:pPr>
            <w:r>
              <w:rPr>
                <w:rFonts w:ascii="Arial" w:cs="Arial" w:eastAsia="Arial" w:hAnsi="Arial"/>
                <w:sz w:val="18"/>
                <w:szCs w:val="18"/>
                <w:b w:val="1"/>
                <w:bCs w:val="1"/>
                <w:color w:val="auto"/>
              </w:rPr>
              <w:t>Consolidated Gross Margin (Excluding Freight and Delivery Revenues) for years ended December 31:</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1"/>
        </w:trPr>
        <w:tc>
          <w:tcPr>
            <w:tcW w:w="4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57"/>
        </w:trPr>
        <w:tc>
          <w:tcPr>
            <w:tcW w:w="4980" w:type="dxa"/>
            <w:vAlign w:val="bottom"/>
            <w:tcBorders>
              <w:left w:val="single" w:sz="8" w:color="47829E"/>
            </w:tcBorders>
            <w:shd w:val="clear" w:color="auto" w:fill="47829E"/>
          </w:tcPr>
          <w:p>
            <w:pPr>
              <w:spacing w:after="0"/>
              <w:rPr>
                <w:sz w:val="22"/>
                <w:szCs w:val="22"/>
                <w:color w:val="auto"/>
              </w:rPr>
            </w:pPr>
          </w:p>
        </w:tc>
        <w:tc>
          <w:tcPr>
            <w:tcW w:w="1840" w:type="dxa"/>
            <w:vAlign w:val="bottom"/>
            <w:tcBorders>
              <w:right w:val="single" w:sz="8" w:color="47829E"/>
            </w:tcBorders>
            <w:shd w:val="clear" w:color="auto" w:fill="47829E"/>
          </w:tcPr>
          <w:p>
            <w:pPr>
              <w:spacing w:after="0"/>
              <w:rPr>
                <w:sz w:val="22"/>
                <w:szCs w:val="22"/>
                <w:color w:val="auto"/>
              </w:rPr>
            </w:pPr>
          </w:p>
        </w:tc>
        <w:tc>
          <w:tcPr>
            <w:tcW w:w="640" w:type="dxa"/>
            <w:vAlign w:val="bottom"/>
            <w:shd w:val="clear" w:color="auto" w:fill="47829E"/>
          </w:tcPr>
          <w:p>
            <w:pPr>
              <w:spacing w:after="0"/>
              <w:rPr>
                <w:sz w:val="22"/>
                <w:szCs w:val="22"/>
                <w:color w:val="auto"/>
              </w:rPr>
            </w:pPr>
          </w:p>
        </w:tc>
        <w:tc>
          <w:tcPr>
            <w:tcW w:w="420" w:type="dxa"/>
            <w:vAlign w:val="bottom"/>
            <w:shd w:val="clear" w:color="auto" w:fill="47829E"/>
          </w:tcPr>
          <w:p>
            <w:pPr>
              <w:spacing w:after="0"/>
              <w:rPr>
                <w:sz w:val="22"/>
                <w:szCs w:val="22"/>
                <w:color w:val="auto"/>
              </w:rPr>
            </w:pPr>
          </w:p>
        </w:tc>
        <w:tc>
          <w:tcPr>
            <w:tcW w:w="960" w:type="dxa"/>
            <w:vAlign w:val="bottom"/>
            <w:shd w:val="clear" w:color="auto" w:fill="47829E"/>
          </w:tcPr>
          <w:p>
            <w:pPr>
              <w:jc w:val="right"/>
              <w:ind w:right="412"/>
              <w:spacing w:after="0"/>
              <w:rPr>
                <w:sz w:val="20"/>
                <w:szCs w:val="20"/>
                <w:color w:val="auto"/>
              </w:rPr>
            </w:pPr>
            <w:r>
              <w:rPr>
                <w:rFonts w:ascii="Arial" w:cs="Arial" w:eastAsia="Arial" w:hAnsi="Arial"/>
                <w:sz w:val="18"/>
                <w:szCs w:val="18"/>
                <w:b w:val="1"/>
                <w:bCs w:val="1"/>
                <w:color w:val="FFFFFF"/>
              </w:rPr>
              <w:t>2014</w:t>
            </w:r>
          </w:p>
        </w:tc>
        <w:tc>
          <w:tcPr>
            <w:tcW w:w="240" w:type="dxa"/>
            <w:vAlign w:val="bottom"/>
            <w:tcBorders>
              <w:right w:val="single" w:sz="8" w:color="47829E"/>
            </w:tcBorders>
            <w:shd w:val="clear" w:color="auto" w:fill="47829E"/>
          </w:tcPr>
          <w:p>
            <w:pPr>
              <w:spacing w:after="0"/>
              <w:rPr>
                <w:sz w:val="22"/>
                <w:szCs w:val="22"/>
                <w:color w:val="auto"/>
              </w:rPr>
            </w:pPr>
          </w:p>
        </w:tc>
        <w:tc>
          <w:tcPr>
            <w:tcW w:w="640" w:type="dxa"/>
            <w:vAlign w:val="bottom"/>
            <w:shd w:val="clear" w:color="auto" w:fill="47829E"/>
          </w:tcPr>
          <w:p>
            <w:pPr>
              <w:spacing w:after="0"/>
              <w:rPr>
                <w:sz w:val="22"/>
                <w:szCs w:val="22"/>
                <w:color w:val="auto"/>
              </w:rPr>
            </w:pPr>
          </w:p>
        </w:tc>
        <w:tc>
          <w:tcPr>
            <w:tcW w:w="300" w:type="dxa"/>
            <w:vAlign w:val="bottom"/>
            <w:shd w:val="clear" w:color="auto" w:fill="47829E"/>
          </w:tcPr>
          <w:p>
            <w:pPr>
              <w:spacing w:after="0"/>
              <w:rPr>
                <w:sz w:val="22"/>
                <w:szCs w:val="22"/>
                <w:color w:val="auto"/>
              </w:rPr>
            </w:pPr>
          </w:p>
        </w:tc>
        <w:tc>
          <w:tcPr>
            <w:tcW w:w="1080" w:type="dxa"/>
            <w:vAlign w:val="bottom"/>
            <w:shd w:val="clear" w:color="auto" w:fill="47829E"/>
          </w:tcPr>
          <w:p>
            <w:pPr>
              <w:jc w:val="right"/>
              <w:ind w:right="412"/>
              <w:spacing w:after="0"/>
              <w:rPr>
                <w:sz w:val="20"/>
                <w:szCs w:val="20"/>
                <w:color w:val="auto"/>
              </w:rPr>
            </w:pPr>
            <w:r>
              <w:rPr>
                <w:rFonts w:ascii="Arial" w:cs="Arial" w:eastAsia="Arial" w:hAnsi="Arial"/>
                <w:sz w:val="18"/>
                <w:szCs w:val="18"/>
                <w:b w:val="1"/>
                <w:bCs w:val="1"/>
                <w:color w:val="FFFFFF"/>
              </w:rPr>
              <w:t>2013</w:t>
            </w:r>
          </w:p>
        </w:tc>
        <w:tc>
          <w:tcPr>
            <w:tcW w:w="340" w:type="dxa"/>
            <w:vAlign w:val="bottom"/>
            <w:tcBorders>
              <w:right w:val="single" w:sz="8" w:color="47829E"/>
            </w:tcBorders>
            <w:shd w:val="clear" w:color="auto" w:fill="47829E"/>
          </w:tcPr>
          <w:p>
            <w:pPr>
              <w:spacing w:after="0"/>
              <w:rPr>
                <w:sz w:val="22"/>
                <w:szCs w:val="22"/>
                <w:color w:val="auto"/>
              </w:rPr>
            </w:pPr>
          </w:p>
        </w:tc>
      </w:tr>
      <w:tr>
        <w:trPr>
          <w:trHeight w:val="203"/>
        </w:trPr>
        <w:tc>
          <w:tcPr>
            <w:tcW w:w="4980" w:type="dxa"/>
            <w:vAlign w:val="bottom"/>
            <w:tcBorders>
              <w:left w:val="single" w:sz="8" w:color="47829E"/>
            </w:tcBorders>
          </w:tcPr>
          <w:p>
            <w:pPr>
              <w:ind w:left="120"/>
              <w:spacing w:after="0" w:line="202" w:lineRule="exact"/>
              <w:rPr>
                <w:sz w:val="20"/>
                <w:szCs w:val="20"/>
                <w:color w:val="auto"/>
              </w:rPr>
            </w:pPr>
            <w:r>
              <w:rPr>
                <w:rFonts w:ascii="Arial" w:cs="Arial" w:eastAsia="Arial" w:hAnsi="Arial"/>
                <w:sz w:val="18"/>
                <w:szCs w:val="18"/>
                <w:color w:val="auto"/>
              </w:rPr>
              <w:t>Gross profit</w:t>
            </w:r>
          </w:p>
        </w:tc>
        <w:tc>
          <w:tcPr>
            <w:tcW w:w="1840" w:type="dxa"/>
            <w:vAlign w:val="bottom"/>
            <w:tcBorders>
              <w:right w:val="single" w:sz="8" w:color="47829E"/>
            </w:tcBorders>
          </w:tcPr>
          <w:p>
            <w:pPr>
              <w:spacing w:after="0"/>
              <w:rPr>
                <w:sz w:val="17"/>
                <w:szCs w:val="17"/>
                <w:color w:val="auto"/>
              </w:rPr>
            </w:pPr>
          </w:p>
        </w:tc>
        <w:tc>
          <w:tcPr>
            <w:tcW w:w="1060" w:type="dxa"/>
            <w:vAlign w:val="bottom"/>
            <w:gridSpan w:val="2"/>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522,360</w:t>
            </w:r>
          </w:p>
        </w:tc>
        <w:tc>
          <w:tcPr>
            <w:tcW w:w="240" w:type="dxa"/>
            <w:vAlign w:val="bottom"/>
            <w:tcBorders>
              <w:right w:val="single" w:sz="8" w:color="47829E"/>
            </w:tcBorders>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363,957</w:t>
            </w:r>
          </w:p>
        </w:tc>
        <w:tc>
          <w:tcPr>
            <w:tcW w:w="340" w:type="dxa"/>
            <w:vAlign w:val="bottom"/>
            <w:tcBorders>
              <w:right w:val="single" w:sz="8" w:color="47829E"/>
            </w:tcBorders>
          </w:tcPr>
          <w:p>
            <w:pPr>
              <w:spacing w:after="0"/>
              <w:rPr>
                <w:sz w:val="17"/>
                <w:szCs w:val="17"/>
                <w:color w:val="auto"/>
              </w:rPr>
            </w:pPr>
          </w:p>
        </w:tc>
      </w:tr>
      <w:tr>
        <w:trPr>
          <w:trHeight w:val="20"/>
        </w:trPr>
        <w:tc>
          <w:tcPr>
            <w:tcW w:w="4980" w:type="dxa"/>
            <w:vAlign w:val="bottom"/>
            <w:tcBorders>
              <w:left w:val="single" w:sz="8" w:color="47829E"/>
            </w:tcBorders>
          </w:tcPr>
          <w:p>
            <w:pPr>
              <w:spacing w:after="0" w:line="20" w:lineRule="exact"/>
              <w:rPr>
                <w:sz w:val="1"/>
                <w:szCs w:val="1"/>
                <w:color w:val="auto"/>
              </w:rPr>
            </w:pPr>
          </w:p>
        </w:tc>
        <w:tc>
          <w:tcPr>
            <w:tcW w:w="18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47829E"/>
            </w:tcBorders>
          </w:tcPr>
          <w:p>
            <w:pPr>
              <w:spacing w:after="0" w:line="20" w:lineRule="exact"/>
              <w:rPr>
                <w:sz w:val="1"/>
                <w:szCs w:val="1"/>
                <w:color w:val="auto"/>
              </w:rPr>
            </w:pPr>
          </w:p>
        </w:tc>
      </w:tr>
      <w:tr>
        <w:trPr>
          <w:trHeight w:val="197"/>
        </w:trPr>
        <w:tc>
          <w:tcPr>
            <w:tcW w:w="4980" w:type="dxa"/>
            <w:vAlign w:val="bottom"/>
            <w:tcBorders>
              <w:left w:val="single" w:sz="8" w:color="47829E"/>
            </w:tcBorders>
            <w:shd w:val="clear" w:color="auto" w:fill="E3ECF0"/>
          </w:tcPr>
          <w:p>
            <w:pPr>
              <w:ind w:left="120"/>
              <w:spacing w:after="0" w:line="196" w:lineRule="exact"/>
              <w:rPr>
                <w:sz w:val="20"/>
                <w:szCs w:val="20"/>
                <w:color w:val="auto"/>
              </w:rPr>
            </w:pPr>
            <w:r>
              <w:rPr>
                <w:rFonts w:ascii="Arial" w:cs="Arial" w:eastAsia="Arial" w:hAnsi="Arial"/>
                <w:sz w:val="18"/>
                <w:szCs w:val="18"/>
                <w:color w:val="auto"/>
              </w:rPr>
              <w:t>Total revenues</w:t>
            </w:r>
          </w:p>
        </w:tc>
        <w:tc>
          <w:tcPr>
            <w:tcW w:w="1840" w:type="dxa"/>
            <w:vAlign w:val="bottom"/>
            <w:tcBorders>
              <w:right w:val="single" w:sz="8" w:color="47829E"/>
            </w:tcBorders>
            <w:shd w:val="clear" w:color="auto" w:fill="E3ECF0"/>
          </w:tcPr>
          <w:p>
            <w:pPr>
              <w:spacing w:after="0"/>
              <w:rPr>
                <w:sz w:val="17"/>
                <w:szCs w:val="17"/>
                <w:color w:val="auto"/>
              </w:rPr>
            </w:pPr>
          </w:p>
        </w:tc>
        <w:tc>
          <w:tcPr>
            <w:tcW w:w="1060" w:type="dxa"/>
            <w:vAlign w:val="bottom"/>
            <w:gridSpan w:val="2"/>
            <w:shd w:val="clear" w:color="auto" w:fill="E3ECF0"/>
          </w:tcPr>
          <w:p>
            <w:pPr>
              <w:jc w:val="right"/>
              <w:ind w:right="232"/>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E3ECF0"/>
          </w:tcPr>
          <w:p>
            <w:pPr>
              <w:jc w:val="right"/>
              <w:spacing w:after="0" w:line="196" w:lineRule="exact"/>
              <w:rPr>
                <w:sz w:val="20"/>
                <w:szCs w:val="20"/>
                <w:color w:val="auto"/>
              </w:rPr>
            </w:pPr>
            <w:r>
              <w:rPr>
                <w:rFonts w:ascii="Arial" w:cs="Arial" w:eastAsia="Arial" w:hAnsi="Arial"/>
                <w:sz w:val="18"/>
                <w:szCs w:val="18"/>
                <w:color w:val="auto"/>
              </w:rPr>
              <w:t>2,957,951</w:t>
            </w:r>
          </w:p>
        </w:tc>
        <w:tc>
          <w:tcPr>
            <w:tcW w:w="240" w:type="dxa"/>
            <w:vAlign w:val="bottom"/>
            <w:tcBorders>
              <w:right w:val="single" w:sz="8" w:color="47829E"/>
            </w:tcBorders>
            <w:shd w:val="clear" w:color="auto" w:fill="E3ECF0"/>
          </w:tcPr>
          <w:p>
            <w:pPr>
              <w:spacing w:after="0"/>
              <w:rPr>
                <w:sz w:val="17"/>
                <w:szCs w:val="17"/>
                <w:color w:val="auto"/>
              </w:rPr>
            </w:pPr>
          </w:p>
        </w:tc>
        <w:tc>
          <w:tcPr>
            <w:tcW w:w="940" w:type="dxa"/>
            <w:vAlign w:val="bottom"/>
            <w:gridSpan w:val="2"/>
            <w:shd w:val="clear" w:color="auto" w:fill="E3ECF0"/>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E3ECF0"/>
          </w:tcPr>
          <w:p>
            <w:pPr>
              <w:jc w:val="right"/>
              <w:spacing w:after="0" w:line="196" w:lineRule="exact"/>
              <w:rPr>
                <w:sz w:val="20"/>
                <w:szCs w:val="20"/>
                <w:color w:val="auto"/>
              </w:rPr>
            </w:pPr>
            <w:r>
              <w:rPr>
                <w:rFonts w:ascii="Arial" w:cs="Arial" w:eastAsia="Arial" w:hAnsi="Arial"/>
                <w:sz w:val="18"/>
                <w:szCs w:val="18"/>
                <w:color w:val="auto"/>
              </w:rPr>
              <w:t>2,155,551</w:t>
            </w:r>
          </w:p>
        </w:tc>
        <w:tc>
          <w:tcPr>
            <w:tcW w:w="340" w:type="dxa"/>
            <w:vAlign w:val="bottom"/>
            <w:tcBorders>
              <w:right w:val="single" w:sz="8" w:color="47829E"/>
            </w:tcBorders>
            <w:shd w:val="clear" w:color="auto" w:fill="E3ECF0"/>
          </w:tcPr>
          <w:p>
            <w:pPr>
              <w:spacing w:after="0"/>
              <w:rPr>
                <w:sz w:val="17"/>
                <w:szCs w:val="17"/>
                <w:color w:val="auto"/>
              </w:rPr>
            </w:pPr>
          </w:p>
        </w:tc>
      </w:tr>
      <w:tr>
        <w:trPr>
          <w:trHeight w:val="203"/>
        </w:trPr>
        <w:tc>
          <w:tcPr>
            <w:tcW w:w="4980" w:type="dxa"/>
            <w:vAlign w:val="bottom"/>
            <w:tcBorders>
              <w:left w:val="single" w:sz="8" w:color="47829E"/>
            </w:tcBorders>
          </w:tcPr>
          <w:p>
            <w:pPr>
              <w:ind w:left="120"/>
              <w:spacing w:after="0" w:line="202" w:lineRule="exact"/>
              <w:rPr>
                <w:sz w:val="20"/>
                <w:szCs w:val="20"/>
                <w:color w:val="auto"/>
              </w:rPr>
            </w:pPr>
            <w:r>
              <w:rPr>
                <w:rFonts w:ascii="Arial" w:cs="Arial" w:eastAsia="Arial" w:hAnsi="Arial"/>
                <w:sz w:val="18"/>
                <w:szCs w:val="18"/>
                <w:color w:val="auto"/>
              </w:rPr>
              <w:t>Less: Freight and delivery revenues</w:t>
            </w:r>
          </w:p>
        </w:tc>
        <w:tc>
          <w:tcPr>
            <w:tcW w:w="1840" w:type="dxa"/>
            <w:vAlign w:val="bottom"/>
            <w:tcBorders>
              <w:right w:val="single" w:sz="8" w:color="47829E"/>
            </w:tcBorders>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Borders>
              <w:right w:val="single" w:sz="8" w:color="47829E"/>
            </w:tcBorders>
            <w:gridSpan w:val="2"/>
          </w:tcPr>
          <w:p>
            <w:pPr>
              <w:jc w:val="right"/>
              <w:ind w:right="180"/>
              <w:spacing w:after="0" w:line="202" w:lineRule="exact"/>
              <w:rPr>
                <w:sz w:val="20"/>
                <w:szCs w:val="20"/>
                <w:color w:val="auto"/>
              </w:rPr>
            </w:pPr>
            <w:r>
              <w:rPr>
                <w:rFonts w:ascii="Arial" w:cs="Arial" w:eastAsia="Arial" w:hAnsi="Arial"/>
                <w:sz w:val="18"/>
                <w:szCs w:val="18"/>
                <w:color w:val="auto"/>
              </w:rPr>
              <w:t>(278,856)</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47829E"/>
            </w:tcBorders>
            <w:gridSpan w:val="2"/>
          </w:tcPr>
          <w:p>
            <w:pPr>
              <w:jc w:val="right"/>
              <w:ind w:right="280"/>
              <w:spacing w:after="0" w:line="202" w:lineRule="exact"/>
              <w:rPr>
                <w:sz w:val="20"/>
                <w:szCs w:val="20"/>
                <w:color w:val="auto"/>
              </w:rPr>
            </w:pPr>
            <w:r>
              <w:rPr>
                <w:rFonts w:ascii="Arial" w:cs="Arial" w:eastAsia="Arial" w:hAnsi="Arial"/>
                <w:sz w:val="18"/>
                <w:szCs w:val="18"/>
                <w:color w:val="auto"/>
              </w:rPr>
              <w:t>(212,333)</w:t>
            </w:r>
          </w:p>
        </w:tc>
      </w:tr>
      <w:tr>
        <w:trPr>
          <w:trHeight w:val="27"/>
        </w:trPr>
        <w:tc>
          <w:tcPr>
            <w:tcW w:w="4980" w:type="dxa"/>
            <w:vAlign w:val="bottom"/>
            <w:tcBorders>
              <w:left w:val="single" w:sz="8" w:color="47829E"/>
            </w:tcBorders>
          </w:tcPr>
          <w:p>
            <w:pPr>
              <w:spacing w:after="0"/>
              <w:rPr>
                <w:sz w:val="2"/>
                <w:szCs w:val="2"/>
                <w:color w:val="auto"/>
              </w:rPr>
            </w:pPr>
          </w:p>
        </w:tc>
        <w:tc>
          <w:tcPr>
            <w:tcW w:w="1840" w:type="dxa"/>
            <w:vAlign w:val="bottom"/>
            <w:tcBorders>
              <w:right w:val="single" w:sz="8" w:color="47829E"/>
            </w:tcBorders>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Borders>
              <w:right w:val="single" w:sz="8" w:color="47829E"/>
            </w:tcBorders>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40" w:type="dxa"/>
            <w:vAlign w:val="bottom"/>
            <w:tcBorders>
              <w:right w:val="single" w:sz="8" w:color="47829E"/>
            </w:tcBorders>
          </w:tcPr>
          <w:p>
            <w:pPr>
              <w:spacing w:after="0"/>
              <w:rPr>
                <w:sz w:val="2"/>
                <w:szCs w:val="2"/>
                <w:color w:val="auto"/>
              </w:rPr>
            </w:pPr>
          </w:p>
        </w:tc>
      </w:tr>
      <w:tr>
        <w:trPr>
          <w:trHeight w:val="203"/>
        </w:trPr>
        <w:tc>
          <w:tcPr>
            <w:tcW w:w="4980" w:type="dxa"/>
            <w:vAlign w:val="bottom"/>
            <w:tcBorders>
              <w:lef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Net sales</w:t>
            </w:r>
          </w:p>
        </w:tc>
        <w:tc>
          <w:tcPr>
            <w:tcW w:w="1840" w:type="dxa"/>
            <w:vAlign w:val="bottom"/>
            <w:tcBorders>
              <w:right w:val="single" w:sz="8" w:color="47829E"/>
            </w:tcBorders>
            <w:shd w:val="clear" w:color="auto" w:fill="E3ECF0"/>
          </w:tcPr>
          <w:p>
            <w:pPr>
              <w:spacing w:after="0"/>
              <w:rPr>
                <w:sz w:val="17"/>
                <w:szCs w:val="17"/>
                <w:color w:val="auto"/>
              </w:rPr>
            </w:pPr>
          </w:p>
        </w:tc>
        <w:tc>
          <w:tcPr>
            <w:tcW w:w="640" w:type="dxa"/>
            <w:vAlign w:val="bottom"/>
            <w:shd w:val="clear" w:color="auto" w:fill="E3ECF0"/>
          </w:tcPr>
          <w:p>
            <w:pPr>
              <w:spacing w:after="0"/>
              <w:rPr>
                <w:sz w:val="17"/>
                <w:szCs w:val="17"/>
                <w:color w:val="auto"/>
              </w:rPr>
            </w:pPr>
          </w:p>
        </w:tc>
        <w:tc>
          <w:tcPr>
            <w:tcW w:w="420" w:type="dxa"/>
            <w:vAlign w:val="bottom"/>
            <w:shd w:val="clear" w:color="auto" w:fill="E3ECF0"/>
          </w:tcPr>
          <w:p>
            <w:pPr>
              <w:jc w:val="right"/>
              <w:ind w:right="232"/>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3ECF0"/>
          </w:tcPr>
          <w:p>
            <w:pPr>
              <w:jc w:val="right"/>
              <w:spacing w:after="0" w:line="202" w:lineRule="exact"/>
              <w:rPr>
                <w:sz w:val="20"/>
                <w:szCs w:val="20"/>
                <w:color w:val="auto"/>
              </w:rPr>
            </w:pPr>
            <w:r>
              <w:rPr>
                <w:rFonts w:ascii="Arial" w:cs="Arial" w:eastAsia="Arial" w:hAnsi="Arial"/>
                <w:sz w:val="18"/>
                <w:szCs w:val="18"/>
                <w:color w:val="auto"/>
              </w:rPr>
              <w:t>2,679,095</w:t>
            </w:r>
          </w:p>
        </w:tc>
        <w:tc>
          <w:tcPr>
            <w:tcW w:w="240" w:type="dxa"/>
            <w:vAlign w:val="bottom"/>
            <w:tcBorders>
              <w:right w:val="single" w:sz="8" w:color="47829E"/>
            </w:tcBorders>
            <w:shd w:val="clear" w:color="auto" w:fill="E3ECF0"/>
          </w:tcPr>
          <w:p>
            <w:pPr>
              <w:spacing w:after="0"/>
              <w:rPr>
                <w:sz w:val="17"/>
                <w:szCs w:val="17"/>
                <w:color w:val="auto"/>
              </w:rPr>
            </w:pPr>
          </w:p>
        </w:tc>
        <w:tc>
          <w:tcPr>
            <w:tcW w:w="940" w:type="dxa"/>
            <w:vAlign w:val="bottom"/>
            <w:gridSpan w:val="2"/>
            <w:shd w:val="clear" w:color="auto" w:fill="E3ECF0"/>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3ECF0"/>
          </w:tcPr>
          <w:p>
            <w:pPr>
              <w:jc w:val="right"/>
              <w:spacing w:after="0" w:line="202" w:lineRule="exact"/>
              <w:rPr>
                <w:sz w:val="20"/>
                <w:szCs w:val="20"/>
                <w:color w:val="auto"/>
              </w:rPr>
            </w:pPr>
            <w:r>
              <w:rPr>
                <w:rFonts w:ascii="Arial" w:cs="Arial" w:eastAsia="Arial" w:hAnsi="Arial"/>
                <w:sz w:val="18"/>
                <w:szCs w:val="18"/>
                <w:color w:val="auto"/>
              </w:rPr>
              <w:t>1,943,218</w:t>
            </w:r>
          </w:p>
        </w:tc>
        <w:tc>
          <w:tcPr>
            <w:tcW w:w="340" w:type="dxa"/>
            <w:vAlign w:val="bottom"/>
            <w:tcBorders>
              <w:right w:val="single" w:sz="8" w:color="47829E"/>
            </w:tcBorders>
            <w:shd w:val="clear" w:color="auto" w:fill="E3ECF0"/>
          </w:tcPr>
          <w:p>
            <w:pPr>
              <w:spacing w:after="0"/>
              <w:rPr>
                <w:sz w:val="17"/>
                <w:szCs w:val="17"/>
                <w:color w:val="auto"/>
              </w:rPr>
            </w:pPr>
          </w:p>
        </w:tc>
      </w:tr>
      <w:tr>
        <w:trPr>
          <w:trHeight w:val="20"/>
        </w:trPr>
        <w:tc>
          <w:tcPr>
            <w:tcW w:w="4980" w:type="dxa"/>
            <w:vAlign w:val="bottom"/>
            <w:tcBorders>
              <w:left w:val="single" w:sz="8" w:color="47829E"/>
            </w:tcBorders>
          </w:tcPr>
          <w:p>
            <w:pPr>
              <w:spacing w:after="0" w:line="20" w:lineRule="exact"/>
              <w:rPr>
                <w:sz w:val="1"/>
                <w:szCs w:val="1"/>
                <w:color w:val="auto"/>
              </w:rPr>
            </w:pPr>
          </w:p>
        </w:tc>
        <w:tc>
          <w:tcPr>
            <w:tcW w:w="18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47829E"/>
            </w:tcBorders>
          </w:tcPr>
          <w:p>
            <w:pPr>
              <w:spacing w:after="0" w:line="20" w:lineRule="exact"/>
              <w:rPr>
                <w:sz w:val="1"/>
                <w:szCs w:val="1"/>
                <w:color w:val="auto"/>
              </w:rPr>
            </w:pPr>
          </w:p>
        </w:tc>
      </w:tr>
      <w:tr>
        <w:trPr>
          <w:trHeight w:val="197"/>
        </w:trPr>
        <w:tc>
          <w:tcPr>
            <w:tcW w:w="4980" w:type="dxa"/>
            <w:vAlign w:val="bottom"/>
            <w:tcBorders>
              <w:left w:val="single" w:sz="8" w:color="47829E"/>
            </w:tcBorders>
          </w:tcPr>
          <w:p>
            <w:pPr>
              <w:ind w:left="120"/>
              <w:spacing w:after="0" w:line="196" w:lineRule="exact"/>
              <w:rPr>
                <w:sz w:val="20"/>
                <w:szCs w:val="20"/>
                <w:color w:val="auto"/>
              </w:rPr>
            </w:pPr>
            <w:r>
              <w:rPr>
                <w:rFonts w:ascii="Arial" w:cs="Arial" w:eastAsia="Arial" w:hAnsi="Arial"/>
                <w:sz w:val="18"/>
                <w:szCs w:val="18"/>
                <w:color w:val="auto"/>
              </w:rPr>
              <w:t>Gross margin (excluding freight and delivery revenues)</w:t>
            </w:r>
          </w:p>
        </w:tc>
        <w:tc>
          <w:tcPr>
            <w:tcW w:w="1840" w:type="dxa"/>
            <w:vAlign w:val="bottom"/>
            <w:tcBorders>
              <w:right w:val="single" w:sz="8" w:color="47829E"/>
            </w:tcBorders>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Borders>
              <w:right w:val="single" w:sz="8" w:color="47829E"/>
            </w:tcBorders>
            <w:gridSpan w:val="2"/>
          </w:tcPr>
          <w:p>
            <w:pPr>
              <w:jc w:val="right"/>
              <w:ind w:right="80"/>
              <w:spacing w:after="0" w:line="196" w:lineRule="exact"/>
              <w:rPr>
                <w:sz w:val="20"/>
                <w:szCs w:val="20"/>
                <w:color w:val="auto"/>
              </w:rPr>
            </w:pPr>
            <w:r>
              <w:rPr>
                <w:rFonts w:ascii="Arial" w:cs="Arial" w:eastAsia="Arial" w:hAnsi="Arial"/>
                <w:sz w:val="18"/>
                <w:szCs w:val="18"/>
                <w:color w:val="auto"/>
              </w:rPr>
              <w:t>19.5%</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47829E"/>
            </w:tcBorders>
            <w:gridSpan w:val="2"/>
          </w:tcPr>
          <w:p>
            <w:pPr>
              <w:jc w:val="right"/>
              <w:ind w:right="180"/>
              <w:spacing w:after="0" w:line="196" w:lineRule="exact"/>
              <w:rPr>
                <w:sz w:val="20"/>
                <w:szCs w:val="20"/>
                <w:color w:val="auto"/>
              </w:rPr>
            </w:pPr>
            <w:r>
              <w:rPr>
                <w:rFonts w:ascii="Arial" w:cs="Arial" w:eastAsia="Arial" w:hAnsi="Arial"/>
                <w:sz w:val="18"/>
                <w:szCs w:val="18"/>
                <w:color w:val="auto"/>
              </w:rPr>
              <w:t>18.7%</w:t>
            </w:r>
          </w:p>
        </w:tc>
      </w:tr>
      <w:tr>
        <w:trPr>
          <w:trHeight w:val="20"/>
        </w:trPr>
        <w:tc>
          <w:tcPr>
            <w:tcW w:w="6820" w:type="dxa"/>
            <w:vAlign w:val="bottom"/>
            <w:tcBorders>
              <w:left w:val="single" w:sz="8" w:color="47829E"/>
              <w:right w:val="single" w:sz="8" w:color="47829E"/>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47829E"/>
            </w:tcBorders>
          </w:tcPr>
          <w:p>
            <w:pPr>
              <w:spacing w:after="0" w:line="20" w:lineRule="exact"/>
              <w:rPr>
                <w:sz w:val="1"/>
                <w:szCs w:val="1"/>
                <w:color w:val="auto"/>
              </w:rPr>
            </w:pPr>
          </w:p>
        </w:tc>
      </w:tr>
      <w:tr>
        <w:trPr>
          <w:trHeight w:val="20"/>
        </w:trPr>
        <w:tc>
          <w:tcPr>
            <w:tcW w:w="6820" w:type="dxa"/>
            <w:vAlign w:val="bottom"/>
            <w:tcBorders>
              <w:left w:val="single" w:sz="8" w:color="47829E"/>
              <w:right w:val="single" w:sz="8" w:color="47829E"/>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right w:val="single" w:sz="8" w:color="47829E"/>
            </w:tcBorders>
          </w:tcPr>
          <w:p>
            <w:pPr>
              <w:spacing w:after="0" w:line="20" w:lineRule="exact"/>
              <w:rPr>
                <w:sz w:val="1"/>
                <w:szCs w:val="1"/>
                <w:color w:val="auto"/>
              </w:rPr>
            </w:pPr>
          </w:p>
        </w:tc>
      </w:tr>
      <w:tr>
        <w:trPr>
          <w:trHeight w:val="20"/>
        </w:trPr>
        <w:tc>
          <w:tcPr>
            <w:tcW w:w="6820" w:type="dxa"/>
            <w:vAlign w:val="bottom"/>
            <w:tcBorders>
              <w:left w:val="single" w:sz="8" w:color="47829E"/>
              <w:bottom w:val="single" w:sz="8" w:color="47829E"/>
              <w:right w:val="single" w:sz="8" w:color="47829E"/>
            </w:tcBorders>
            <w:gridSpan w:val="2"/>
          </w:tcPr>
          <w:p>
            <w:pPr>
              <w:spacing w:after="0" w:line="20" w:lineRule="exact"/>
              <w:rPr>
                <w:sz w:val="1"/>
                <w:szCs w:val="1"/>
                <w:color w:val="auto"/>
              </w:rPr>
            </w:pPr>
          </w:p>
        </w:tc>
        <w:tc>
          <w:tcPr>
            <w:tcW w:w="1060" w:type="dxa"/>
            <w:vAlign w:val="bottom"/>
            <w:tcBorders>
              <w:bottom w:val="single" w:sz="8" w:color="47829E"/>
            </w:tcBorders>
            <w:gridSpan w:val="2"/>
          </w:tcPr>
          <w:p>
            <w:pPr>
              <w:spacing w:after="0" w:line="20" w:lineRule="exact"/>
              <w:rPr>
                <w:sz w:val="1"/>
                <w:szCs w:val="1"/>
                <w:color w:val="auto"/>
              </w:rPr>
            </w:pPr>
          </w:p>
        </w:tc>
        <w:tc>
          <w:tcPr>
            <w:tcW w:w="960" w:type="dxa"/>
            <w:vAlign w:val="bottom"/>
            <w:tcBorders>
              <w:bottom w:val="single" w:sz="8" w:color="47829E"/>
            </w:tcBorders>
          </w:tcPr>
          <w:p>
            <w:pPr>
              <w:spacing w:after="0" w:line="20" w:lineRule="exact"/>
              <w:rPr>
                <w:sz w:val="1"/>
                <w:szCs w:val="1"/>
                <w:color w:val="auto"/>
              </w:rPr>
            </w:pPr>
          </w:p>
        </w:tc>
        <w:tc>
          <w:tcPr>
            <w:tcW w:w="240" w:type="dxa"/>
            <w:vAlign w:val="bottom"/>
            <w:tcBorders>
              <w:bottom w:val="single" w:sz="8" w:color="47829E"/>
              <w:right w:val="single" w:sz="8" w:color="47829E"/>
            </w:tcBorders>
          </w:tcPr>
          <w:p>
            <w:pPr>
              <w:spacing w:after="0" w:line="20" w:lineRule="exact"/>
              <w:rPr>
                <w:sz w:val="1"/>
                <w:szCs w:val="1"/>
                <w:color w:val="auto"/>
              </w:rPr>
            </w:pPr>
          </w:p>
        </w:tc>
        <w:tc>
          <w:tcPr>
            <w:tcW w:w="640" w:type="dxa"/>
            <w:vAlign w:val="bottom"/>
            <w:tcBorders>
              <w:bottom w:val="single" w:sz="8" w:color="47829E"/>
            </w:tcBorders>
          </w:tcPr>
          <w:p>
            <w:pPr>
              <w:spacing w:after="0" w:line="20" w:lineRule="exact"/>
              <w:rPr>
                <w:sz w:val="1"/>
                <w:szCs w:val="1"/>
                <w:color w:val="auto"/>
              </w:rPr>
            </w:pPr>
          </w:p>
        </w:tc>
        <w:tc>
          <w:tcPr>
            <w:tcW w:w="300" w:type="dxa"/>
            <w:vAlign w:val="bottom"/>
            <w:tcBorders>
              <w:bottom w:val="single" w:sz="8" w:color="47829E"/>
            </w:tcBorders>
          </w:tcPr>
          <w:p>
            <w:pPr>
              <w:spacing w:after="0" w:line="20" w:lineRule="exact"/>
              <w:rPr>
                <w:sz w:val="1"/>
                <w:szCs w:val="1"/>
                <w:color w:val="auto"/>
              </w:rPr>
            </w:pPr>
          </w:p>
        </w:tc>
        <w:tc>
          <w:tcPr>
            <w:tcW w:w="1080" w:type="dxa"/>
            <w:vAlign w:val="bottom"/>
            <w:tcBorders>
              <w:bottom w:val="single" w:sz="8" w:color="47829E"/>
            </w:tcBorders>
          </w:tcPr>
          <w:p>
            <w:pPr>
              <w:spacing w:after="0" w:line="20" w:lineRule="exact"/>
              <w:rPr>
                <w:sz w:val="1"/>
                <w:szCs w:val="1"/>
                <w:color w:val="auto"/>
              </w:rPr>
            </w:pPr>
          </w:p>
        </w:tc>
        <w:tc>
          <w:tcPr>
            <w:tcW w:w="340" w:type="dxa"/>
            <w:vAlign w:val="bottom"/>
            <w:tcBorders>
              <w:bottom w:val="single" w:sz="8" w:color="47829E"/>
              <w:right w:val="single" w:sz="8" w:color="47829E"/>
            </w:tcBorders>
          </w:tcPr>
          <w:p>
            <w:pPr>
              <w:spacing w:after="0" w:line="20" w:lineRule="exact"/>
              <w:rPr>
                <w:sz w:val="1"/>
                <w:szCs w:val="1"/>
                <w:color w:val="auto"/>
              </w:rPr>
            </w:pPr>
          </w:p>
        </w:tc>
      </w:tr>
      <w:tr>
        <w:trPr>
          <w:trHeight w:val="344"/>
        </w:trPr>
        <w:tc>
          <w:tcPr>
            <w:tcW w:w="7880" w:type="dxa"/>
            <w:vAlign w:val="bottom"/>
            <w:gridSpan w:val="4"/>
          </w:tcPr>
          <w:p>
            <w:pPr>
              <w:spacing w:after="0"/>
              <w:rPr>
                <w:sz w:val="20"/>
                <w:szCs w:val="20"/>
                <w:color w:val="auto"/>
              </w:rPr>
            </w:pPr>
            <w:r>
              <w:rPr>
                <w:rFonts w:ascii="Arial" w:cs="Arial" w:eastAsia="Arial" w:hAnsi="Arial"/>
                <w:sz w:val="18"/>
                <w:szCs w:val="18"/>
                <w:b w:val="1"/>
                <w:bCs w:val="1"/>
                <w:color w:val="auto"/>
                <w:w w:val="98"/>
              </w:rPr>
              <w:t>Heritage Consolidated Gross Margin in Accordance with GAAP for years ended December 31:</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1"/>
        </w:trPr>
        <w:tc>
          <w:tcPr>
            <w:tcW w:w="4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57"/>
        </w:trPr>
        <w:tc>
          <w:tcPr>
            <w:tcW w:w="4980" w:type="dxa"/>
            <w:vAlign w:val="bottom"/>
            <w:tcBorders>
              <w:left w:val="single" w:sz="8" w:color="47829E"/>
            </w:tcBorders>
            <w:shd w:val="clear" w:color="auto" w:fill="47829E"/>
          </w:tcPr>
          <w:p>
            <w:pPr>
              <w:spacing w:after="0"/>
              <w:rPr>
                <w:sz w:val="22"/>
                <w:szCs w:val="22"/>
                <w:color w:val="auto"/>
              </w:rPr>
            </w:pPr>
          </w:p>
        </w:tc>
        <w:tc>
          <w:tcPr>
            <w:tcW w:w="1840" w:type="dxa"/>
            <w:vAlign w:val="bottom"/>
            <w:tcBorders>
              <w:right w:val="single" w:sz="8" w:color="47829E"/>
            </w:tcBorders>
            <w:shd w:val="clear" w:color="auto" w:fill="47829E"/>
          </w:tcPr>
          <w:p>
            <w:pPr>
              <w:spacing w:after="0"/>
              <w:rPr>
                <w:sz w:val="22"/>
                <w:szCs w:val="22"/>
                <w:color w:val="auto"/>
              </w:rPr>
            </w:pPr>
          </w:p>
        </w:tc>
        <w:tc>
          <w:tcPr>
            <w:tcW w:w="640" w:type="dxa"/>
            <w:vAlign w:val="bottom"/>
            <w:shd w:val="clear" w:color="auto" w:fill="47829E"/>
          </w:tcPr>
          <w:p>
            <w:pPr>
              <w:spacing w:after="0"/>
              <w:rPr>
                <w:sz w:val="22"/>
                <w:szCs w:val="22"/>
                <w:color w:val="auto"/>
              </w:rPr>
            </w:pPr>
          </w:p>
        </w:tc>
        <w:tc>
          <w:tcPr>
            <w:tcW w:w="420" w:type="dxa"/>
            <w:vAlign w:val="bottom"/>
            <w:shd w:val="clear" w:color="auto" w:fill="47829E"/>
          </w:tcPr>
          <w:p>
            <w:pPr>
              <w:spacing w:after="0"/>
              <w:rPr>
                <w:sz w:val="22"/>
                <w:szCs w:val="22"/>
                <w:color w:val="auto"/>
              </w:rPr>
            </w:pPr>
          </w:p>
        </w:tc>
        <w:tc>
          <w:tcPr>
            <w:tcW w:w="960" w:type="dxa"/>
            <w:vAlign w:val="bottom"/>
            <w:shd w:val="clear" w:color="auto" w:fill="47829E"/>
          </w:tcPr>
          <w:p>
            <w:pPr>
              <w:jc w:val="right"/>
              <w:ind w:right="412"/>
              <w:spacing w:after="0"/>
              <w:rPr>
                <w:sz w:val="20"/>
                <w:szCs w:val="20"/>
                <w:color w:val="auto"/>
              </w:rPr>
            </w:pPr>
            <w:r>
              <w:rPr>
                <w:rFonts w:ascii="Arial" w:cs="Arial" w:eastAsia="Arial" w:hAnsi="Arial"/>
                <w:sz w:val="18"/>
                <w:szCs w:val="18"/>
                <w:b w:val="1"/>
                <w:bCs w:val="1"/>
                <w:color w:val="FFFFFF"/>
              </w:rPr>
              <w:t>2014</w:t>
            </w:r>
          </w:p>
        </w:tc>
        <w:tc>
          <w:tcPr>
            <w:tcW w:w="240" w:type="dxa"/>
            <w:vAlign w:val="bottom"/>
            <w:tcBorders>
              <w:right w:val="single" w:sz="8" w:color="47829E"/>
            </w:tcBorders>
            <w:shd w:val="clear" w:color="auto" w:fill="47829E"/>
          </w:tcPr>
          <w:p>
            <w:pPr>
              <w:spacing w:after="0"/>
              <w:rPr>
                <w:sz w:val="22"/>
                <w:szCs w:val="22"/>
                <w:color w:val="auto"/>
              </w:rPr>
            </w:pPr>
          </w:p>
        </w:tc>
        <w:tc>
          <w:tcPr>
            <w:tcW w:w="640" w:type="dxa"/>
            <w:vAlign w:val="bottom"/>
            <w:shd w:val="clear" w:color="auto" w:fill="47829E"/>
          </w:tcPr>
          <w:p>
            <w:pPr>
              <w:spacing w:after="0"/>
              <w:rPr>
                <w:sz w:val="22"/>
                <w:szCs w:val="22"/>
                <w:color w:val="auto"/>
              </w:rPr>
            </w:pPr>
          </w:p>
        </w:tc>
        <w:tc>
          <w:tcPr>
            <w:tcW w:w="300" w:type="dxa"/>
            <w:vAlign w:val="bottom"/>
            <w:shd w:val="clear" w:color="auto" w:fill="47829E"/>
          </w:tcPr>
          <w:p>
            <w:pPr>
              <w:spacing w:after="0"/>
              <w:rPr>
                <w:sz w:val="22"/>
                <w:szCs w:val="22"/>
                <w:color w:val="auto"/>
              </w:rPr>
            </w:pPr>
          </w:p>
        </w:tc>
        <w:tc>
          <w:tcPr>
            <w:tcW w:w="1080" w:type="dxa"/>
            <w:vAlign w:val="bottom"/>
            <w:shd w:val="clear" w:color="auto" w:fill="47829E"/>
          </w:tcPr>
          <w:p>
            <w:pPr>
              <w:jc w:val="right"/>
              <w:ind w:right="412"/>
              <w:spacing w:after="0"/>
              <w:rPr>
                <w:sz w:val="20"/>
                <w:szCs w:val="20"/>
                <w:color w:val="auto"/>
              </w:rPr>
            </w:pPr>
            <w:r>
              <w:rPr>
                <w:rFonts w:ascii="Arial" w:cs="Arial" w:eastAsia="Arial" w:hAnsi="Arial"/>
                <w:sz w:val="18"/>
                <w:szCs w:val="18"/>
                <w:b w:val="1"/>
                <w:bCs w:val="1"/>
                <w:color w:val="FFFFFF"/>
              </w:rPr>
              <w:t>2013</w:t>
            </w:r>
          </w:p>
        </w:tc>
        <w:tc>
          <w:tcPr>
            <w:tcW w:w="340" w:type="dxa"/>
            <w:vAlign w:val="bottom"/>
            <w:tcBorders>
              <w:right w:val="single" w:sz="8" w:color="47829E"/>
            </w:tcBorders>
            <w:shd w:val="clear" w:color="auto" w:fill="47829E"/>
          </w:tcPr>
          <w:p>
            <w:pPr>
              <w:spacing w:after="0"/>
              <w:rPr>
                <w:sz w:val="22"/>
                <w:szCs w:val="22"/>
                <w:color w:val="auto"/>
              </w:rPr>
            </w:pPr>
          </w:p>
        </w:tc>
      </w:tr>
      <w:tr>
        <w:trPr>
          <w:trHeight w:val="203"/>
        </w:trPr>
        <w:tc>
          <w:tcPr>
            <w:tcW w:w="4980" w:type="dxa"/>
            <w:vAlign w:val="bottom"/>
            <w:tcBorders>
              <w:left w:val="single" w:sz="8" w:color="47829E"/>
            </w:tcBorders>
          </w:tcPr>
          <w:p>
            <w:pPr>
              <w:ind w:left="120"/>
              <w:spacing w:after="0" w:line="202" w:lineRule="exact"/>
              <w:rPr>
                <w:sz w:val="20"/>
                <w:szCs w:val="20"/>
                <w:color w:val="auto"/>
              </w:rPr>
            </w:pPr>
            <w:r>
              <w:rPr>
                <w:rFonts w:ascii="Arial" w:cs="Arial" w:eastAsia="Arial" w:hAnsi="Arial"/>
                <w:sz w:val="18"/>
                <w:szCs w:val="18"/>
                <w:color w:val="auto"/>
              </w:rPr>
              <w:t>Heritage gross profit</w:t>
            </w:r>
          </w:p>
        </w:tc>
        <w:tc>
          <w:tcPr>
            <w:tcW w:w="1840" w:type="dxa"/>
            <w:vAlign w:val="bottom"/>
            <w:tcBorders>
              <w:right w:val="single" w:sz="8" w:color="47829E"/>
            </w:tcBorders>
          </w:tcPr>
          <w:p>
            <w:pPr>
              <w:spacing w:after="0"/>
              <w:rPr>
                <w:sz w:val="17"/>
                <w:szCs w:val="17"/>
                <w:color w:val="auto"/>
              </w:rPr>
            </w:pPr>
          </w:p>
        </w:tc>
        <w:tc>
          <w:tcPr>
            <w:tcW w:w="1060" w:type="dxa"/>
            <w:vAlign w:val="bottom"/>
            <w:gridSpan w:val="2"/>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454,625</w:t>
            </w:r>
          </w:p>
        </w:tc>
        <w:tc>
          <w:tcPr>
            <w:tcW w:w="240" w:type="dxa"/>
            <w:vAlign w:val="bottom"/>
            <w:tcBorders>
              <w:right w:val="single" w:sz="8" w:color="47829E"/>
            </w:tcBorders>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363,957</w:t>
            </w:r>
          </w:p>
        </w:tc>
        <w:tc>
          <w:tcPr>
            <w:tcW w:w="340" w:type="dxa"/>
            <w:vAlign w:val="bottom"/>
            <w:tcBorders>
              <w:right w:val="single" w:sz="8" w:color="47829E"/>
            </w:tcBorders>
          </w:tcPr>
          <w:p>
            <w:pPr>
              <w:spacing w:after="0"/>
              <w:rPr>
                <w:sz w:val="17"/>
                <w:szCs w:val="17"/>
                <w:color w:val="auto"/>
              </w:rPr>
            </w:pPr>
          </w:p>
        </w:tc>
      </w:tr>
      <w:tr>
        <w:trPr>
          <w:trHeight w:val="20"/>
        </w:trPr>
        <w:tc>
          <w:tcPr>
            <w:tcW w:w="4980" w:type="dxa"/>
            <w:vAlign w:val="bottom"/>
            <w:tcBorders>
              <w:left w:val="single" w:sz="8" w:color="47829E"/>
            </w:tcBorders>
          </w:tcPr>
          <w:p>
            <w:pPr>
              <w:spacing w:after="0" w:line="20" w:lineRule="exact"/>
              <w:rPr>
                <w:sz w:val="1"/>
                <w:szCs w:val="1"/>
                <w:color w:val="auto"/>
              </w:rPr>
            </w:pPr>
          </w:p>
        </w:tc>
        <w:tc>
          <w:tcPr>
            <w:tcW w:w="18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47829E"/>
            </w:tcBorders>
          </w:tcPr>
          <w:p>
            <w:pPr>
              <w:spacing w:after="0" w:line="20" w:lineRule="exact"/>
              <w:rPr>
                <w:sz w:val="1"/>
                <w:szCs w:val="1"/>
                <w:color w:val="auto"/>
              </w:rPr>
            </w:pPr>
          </w:p>
        </w:tc>
      </w:tr>
      <w:tr>
        <w:trPr>
          <w:trHeight w:val="197"/>
        </w:trPr>
        <w:tc>
          <w:tcPr>
            <w:tcW w:w="4980" w:type="dxa"/>
            <w:vAlign w:val="bottom"/>
            <w:tcBorders>
              <w:left w:val="single" w:sz="8" w:color="47829E"/>
            </w:tcBorders>
            <w:shd w:val="clear" w:color="auto" w:fill="E3ECF0"/>
          </w:tcPr>
          <w:p>
            <w:pPr>
              <w:ind w:left="120"/>
              <w:spacing w:after="0" w:line="196" w:lineRule="exact"/>
              <w:rPr>
                <w:sz w:val="20"/>
                <w:szCs w:val="20"/>
                <w:color w:val="auto"/>
              </w:rPr>
            </w:pPr>
            <w:r>
              <w:rPr>
                <w:rFonts w:ascii="Arial" w:cs="Arial" w:eastAsia="Arial" w:hAnsi="Arial"/>
                <w:sz w:val="18"/>
                <w:szCs w:val="18"/>
                <w:color w:val="auto"/>
              </w:rPr>
              <w:t>Heritage total revenues</w:t>
            </w:r>
          </w:p>
        </w:tc>
        <w:tc>
          <w:tcPr>
            <w:tcW w:w="1840" w:type="dxa"/>
            <w:vAlign w:val="bottom"/>
            <w:tcBorders>
              <w:right w:val="single" w:sz="8" w:color="47829E"/>
            </w:tcBorders>
            <w:shd w:val="clear" w:color="auto" w:fill="E3ECF0"/>
          </w:tcPr>
          <w:p>
            <w:pPr>
              <w:spacing w:after="0"/>
              <w:rPr>
                <w:sz w:val="17"/>
                <w:szCs w:val="17"/>
                <w:color w:val="auto"/>
              </w:rPr>
            </w:pPr>
          </w:p>
        </w:tc>
        <w:tc>
          <w:tcPr>
            <w:tcW w:w="640" w:type="dxa"/>
            <w:vAlign w:val="bottom"/>
            <w:shd w:val="clear" w:color="auto" w:fill="E3ECF0"/>
          </w:tcPr>
          <w:p>
            <w:pPr>
              <w:spacing w:after="0"/>
              <w:rPr>
                <w:sz w:val="17"/>
                <w:szCs w:val="17"/>
                <w:color w:val="auto"/>
              </w:rPr>
            </w:pPr>
          </w:p>
        </w:tc>
        <w:tc>
          <w:tcPr>
            <w:tcW w:w="420" w:type="dxa"/>
            <w:vAlign w:val="bottom"/>
            <w:shd w:val="clear" w:color="auto" w:fill="E3ECF0"/>
          </w:tcPr>
          <w:p>
            <w:pPr>
              <w:jc w:val="right"/>
              <w:ind w:right="232"/>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3ECF0"/>
          </w:tcPr>
          <w:p>
            <w:pPr>
              <w:jc w:val="right"/>
              <w:spacing w:after="0" w:line="196" w:lineRule="exact"/>
              <w:rPr>
                <w:sz w:val="20"/>
                <w:szCs w:val="20"/>
                <w:color w:val="auto"/>
              </w:rPr>
            </w:pPr>
            <w:r>
              <w:rPr>
                <w:rFonts w:ascii="Arial" w:cs="Arial" w:eastAsia="Arial" w:hAnsi="Arial"/>
                <w:sz w:val="18"/>
                <w:szCs w:val="18"/>
                <w:color w:val="auto"/>
              </w:rPr>
              <w:t>2,418,920</w:t>
            </w:r>
          </w:p>
        </w:tc>
        <w:tc>
          <w:tcPr>
            <w:tcW w:w="240" w:type="dxa"/>
            <w:vAlign w:val="bottom"/>
            <w:tcBorders>
              <w:right w:val="single" w:sz="8" w:color="47829E"/>
            </w:tcBorders>
            <w:shd w:val="clear" w:color="auto" w:fill="E3ECF0"/>
          </w:tcPr>
          <w:p>
            <w:pPr>
              <w:spacing w:after="0"/>
              <w:rPr>
                <w:sz w:val="17"/>
                <w:szCs w:val="17"/>
                <w:color w:val="auto"/>
              </w:rPr>
            </w:pPr>
          </w:p>
        </w:tc>
        <w:tc>
          <w:tcPr>
            <w:tcW w:w="940" w:type="dxa"/>
            <w:vAlign w:val="bottom"/>
            <w:gridSpan w:val="2"/>
            <w:shd w:val="clear" w:color="auto" w:fill="E3ECF0"/>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E3ECF0"/>
          </w:tcPr>
          <w:p>
            <w:pPr>
              <w:jc w:val="right"/>
              <w:spacing w:after="0" w:line="196" w:lineRule="exact"/>
              <w:rPr>
                <w:sz w:val="20"/>
                <w:szCs w:val="20"/>
                <w:color w:val="auto"/>
              </w:rPr>
            </w:pPr>
            <w:r>
              <w:rPr>
                <w:rFonts w:ascii="Arial" w:cs="Arial" w:eastAsia="Arial" w:hAnsi="Arial"/>
                <w:sz w:val="18"/>
                <w:szCs w:val="18"/>
                <w:color w:val="auto"/>
              </w:rPr>
              <w:t>2,155,551</w:t>
            </w:r>
          </w:p>
        </w:tc>
        <w:tc>
          <w:tcPr>
            <w:tcW w:w="340" w:type="dxa"/>
            <w:vAlign w:val="bottom"/>
            <w:tcBorders>
              <w:right w:val="single" w:sz="8" w:color="47829E"/>
            </w:tcBorders>
            <w:shd w:val="clear" w:color="auto" w:fill="E3ECF0"/>
          </w:tcPr>
          <w:p>
            <w:pPr>
              <w:spacing w:after="0"/>
              <w:rPr>
                <w:sz w:val="17"/>
                <w:szCs w:val="17"/>
                <w:color w:val="auto"/>
              </w:rPr>
            </w:pPr>
          </w:p>
        </w:tc>
      </w:tr>
      <w:tr>
        <w:trPr>
          <w:trHeight w:val="20"/>
        </w:trPr>
        <w:tc>
          <w:tcPr>
            <w:tcW w:w="4980" w:type="dxa"/>
            <w:vAlign w:val="bottom"/>
            <w:tcBorders>
              <w:left w:val="single" w:sz="8" w:color="47829E"/>
            </w:tcBorders>
          </w:tcPr>
          <w:p>
            <w:pPr>
              <w:spacing w:after="0" w:line="20" w:lineRule="exact"/>
              <w:rPr>
                <w:sz w:val="1"/>
                <w:szCs w:val="1"/>
                <w:color w:val="auto"/>
              </w:rPr>
            </w:pPr>
          </w:p>
        </w:tc>
        <w:tc>
          <w:tcPr>
            <w:tcW w:w="18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47829E"/>
            </w:tcBorders>
          </w:tcPr>
          <w:p>
            <w:pPr>
              <w:spacing w:after="0" w:line="20" w:lineRule="exact"/>
              <w:rPr>
                <w:sz w:val="1"/>
                <w:szCs w:val="1"/>
                <w:color w:val="auto"/>
              </w:rPr>
            </w:pPr>
          </w:p>
        </w:tc>
      </w:tr>
      <w:tr>
        <w:trPr>
          <w:trHeight w:val="197"/>
        </w:trPr>
        <w:tc>
          <w:tcPr>
            <w:tcW w:w="4980" w:type="dxa"/>
            <w:vAlign w:val="bottom"/>
            <w:tcBorders>
              <w:left w:val="single" w:sz="8" w:color="47829E"/>
            </w:tcBorders>
          </w:tcPr>
          <w:p>
            <w:pPr>
              <w:ind w:left="120"/>
              <w:spacing w:after="0" w:line="196" w:lineRule="exact"/>
              <w:rPr>
                <w:sz w:val="20"/>
                <w:szCs w:val="20"/>
                <w:color w:val="auto"/>
              </w:rPr>
            </w:pPr>
            <w:r>
              <w:rPr>
                <w:rFonts w:ascii="Arial" w:cs="Arial" w:eastAsia="Arial" w:hAnsi="Arial"/>
                <w:sz w:val="18"/>
                <w:szCs w:val="18"/>
                <w:color w:val="auto"/>
              </w:rPr>
              <w:t>Heritage gross margin</w:t>
            </w:r>
          </w:p>
        </w:tc>
        <w:tc>
          <w:tcPr>
            <w:tcW w:w="1840" w:type="dxa"/>
            <w:vAlign w:val="bottom"/>
            <w:tcBorders>
              <w:right w:val="single" w:sz="8" w:color="47829E"/>
            </w:tcBorders>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Borders>
              <w:right w:val="single" w:sz="8" w:color="47829E"/>
            </w:tcBorders>
            <w:gridSpan w:val="2"/>
          </w:tcPr>
          <w:p>
            <w:pPr>
              <w:jc w:val="right"/>
              <w:ind w:right="80"/>
              <w:spacing w:after="0" w:line="196" w:lineRule="exact"/>
              <w:rPr>
                <w:sz w:val="20"/>
                <w:szCs w:val="20"/>
                <w:color w:val="auto"/>
              </w:rPr>
            </w:pPr>
            <w:r>
              <w:rPr>
                <w:rFonts w:ascii="Arial" w:cs="Arial" w:eastAsia="Arial" w:hAnsi="Arial"/>
                <w:sz w:val="18"/>
                <w:szCs w:val="18"/>
                <w:color w:val="auto"/>
              </w:rPr>
              <w:t>18.8%</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47829E"/>
            </w:tcBorders>
            <w:gridSpan w:val="2"/>
          </w:tcPr>
          <w:p>
            <w:pPr>
              <w:jc w:val="right"/>
              <w:ind w:right="180"/>
              <w:spacing w:after="0" w:line="196" w:lineRule="exact"/>
              <w:rPr>
                <w:sz w:val="20"/>
                <w:szCs w:val="20"/>
                <w:color w:val="auto"/>
              </w:rPr>
            </w:pPr>
            <w:r>
              <w:rPr>
                <w:rFonts w:ascii="Arial" w:cs="Arial" w:eastAsia="Arial" w:hAnsi="Arial"/>
                <w:sz w:val="18"/>
                <w:szCs w:val="18"/>
                <w:color w:val="auto"/>
              </w:rPr>
              <w:t>16.9%</w:t>
            </w:r>
          </w:p>
        </w:tc>
      </w:tr>
      <w:tr>
        <w:trPr>
          <w:trHeight w:val="20"/>
        </w:trPr>
        <w:tc>
          <w:tcPr>
            <w:tcW w:w="4980" w:type="dxa"/>
            <w:vAlign w:val="bottom"/>
            <w:tcBorders>
              <w:left w:val="single" w:sz="8" w:color="47829E"/>
            </w:tcBorders>
          </w:tcPr>
          <w:p>
            <w:pPr>
              <w:spacing w:after="0" w:line="20" w:lineRule="exact"/>
              <w:rPr>
                <w:sz w:val="1"/>
                <w:szCs w:val="1"/>
                <w:color w:val="auto"/>
              </w:rPr>
            </w:pPr>
          </w:p>
        </w:tc>
        <w:tc>
          <w:tcPr>
            <w:tcW w:w="18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47829E"/>
            </w:tcBorders>
          </w:tcPr>
          <w:p>
            <w:pPr>
              <w:spacing w:after="0" w:line="20" w:lineRule="exact"/>
              <w:rPr>
                <w:sz w:val="1"/>
                <w:szCs w:val="1"/>
                <w:color w:val="auto"/>
              </w:rPr>
            </w:pPr>
          </w:p>
        </w:tc>
      </w:tr>
      <w:tr>
        <w:trPr>
          <w:trHeight w:val="20"/>
        </w:trPr>
        <w:tc>
          <w:tcPr>
            <w:tcW w:w="4980" w:type="dxa"/>
            <w:vAlign w:val="bottom"/>
            <w:tcBorders>
              <w:left w:val="single" w:sz="8" w:color="47829E"/>
            </w:tcBorders>
          </w:tcPr>
          <w:p>
            <w:pPr>
              <w:spacing w:after="0" w:line="20" w:lineRule="exact"/>
              <w:rPr>
                <w:sz w:val="1"/>
                <w:szCs w:val="1"/>
                <w:color w:val="auto"/>
              </w:rPr>
            </w:pPr>
          </w:p>
        </w:tc>
        <w:tc>
          <w:tcPr>
            <w:tcW w:w="18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right w:val="single" w:sz="8" w:color="47829E"/>
            </w:tcBorders>
          </w:tcPr>
          <w:p>
            <w:pPr>
              <w:spacing w:after="0" w:line="20" w:lineRule="exact"/>
              <w:rPr>
                <w:sz w:val="1"/>
                <w:szCs w:val="1"/>
                <w:color w:val="auto"/>
              </w:rPr>
            </w:pPr>
          </w:p>
        </w:tc>
      </w:tr>
      <w:tr>
        <w:trPr>
          <w:trHeight w:val="20"/>
        </w:trPr>
        <w:tc>
          <w:tcPr>
            <w:tcW w:w="4980" w:type="dxa"/>
            <w:vAlign w:val="bottom"/>
            <w:tcBorders>
              <w:left w:val="single" w:sz="8" w:color="47829E"/>
              <w:bottom w:val="single" w:sz="8" w:color="47829E"/>
            </w:tcBorders>
          </w:tcPr>
          <w:p>
            <w:pPr>
              <w:spacing w:after="0" w:line="20" w:lineRule="exact"/>
              <w:rPr>
                <w:sz w:val="1"/>
                <w:szCs w:val="1"/>
                <w:color w:val="auto"/>
              </w:rPr>
            </w:pPr>
          </w:p>
        </w:tc>
        <w:tc>
          <w:tcPr>
            <w:tcW w:w="1840" w:type="dxa"/>
            <w:vAlign w:val="bottom"/>
            <w:tcBorders>
              <w:bottom w:val="single" w:sz="8" w:color="47829E"/>
              <w:right w:val="single" w:sz="8" w:color="47829E"/>
            </w:tcBorders>
          </w:tcPr>
          <w:p>
            <w:pPr>
              <w:spacing w:after="0" w:line="20" w:lineRule="exact"/>
              <w:rPr>
                <w:sz w:val="1"/>
                <w:szCs w:val="1"/>
                <w:color w:val="auto"/>
              </w:rPr>
            </w:pPr>
          </w:p>
        </w:tc>
        <w:tc>
          <w:tcPr>
            <w:tcW w:w="1060" w:type="dxa"/>
            <w:vAlign w:val="bottom"/>
            <w:tcBorders>
              <w:bottom w:val="single" w:sz="8" w:color="47829E"/>
            </w:tcBorders>
            <w:gridSpan w:val="2"/>
          </w:tcPr>
          <w:p>
            <w:pPr>
              <w:spacing w:after="0" w:line="20" w:lineRule="exact"/>
              <w:rPr>
                <w:sz w:val="1"/>
                <w:szCs w:val="1"/>
                <w:color w:val="auto"/>
              </w:rPr>
            </w:pPr>
          </w:p>
        </w:tc>
        <w:tc>
          <w:tcPr>
            <w:tcW w:w="960" w:type="dxa"/>
            <w:vAlign w:val="bottom"/>
            <w:tcBorders>
              <w:bottom w:val="single" w:sz="8" w:color="47829E"/>
            </w:tcBorders>
          </w:tcPr>
          <w:p>
            <w:pPr>
              <w:spacing w:after="0" w:line="20" w:lineRule="exact"/>
              <w:rPr>
                <w:sz w:val="1"/>
                <w:szCs w:val="1"/>
                <w:color w:val="auto"/>
              </w:rPr>
            </w:pPr>
          </w:p>
        </w:tc>
        <w:tc>
          <w:tcPr>
            <w:tcW w:w="240" w:type="dxa"/>
            <w:vAlign w:val="bottom"/>
            <w:tcBorders>
              <w:bottom w:val="single" w:sz="8" w:color="47829E"/>
              <w:right w:val="single" w:sz="8" w:color="47829E"/>
            </w:tcBorders>
          </w:tcPr>
          <w:p>
            <w:pPr>
              <w:spacing w:after="0" w:line="20" w:lineRule="exact"/>
              <w:rPr>
                <w:sz w:val="1"/>
                <w:szCs w:val="1"/>
                <w:color w:val="auto"/>
              </w:rPr>
            </w:pPr>
          </w:p>
        </w:tc>
        <w:tc>
          <w:tcPr>
            <w:tcW w:w="640" w:type="dxa"/>
            <w:vAlign w:val="bottom"/>
            <w:tcBorders>
              <w:bottom w:val="single" w:sz="8" w:color="47829E"/>
            </w:tcBorders>
          </w:tcPr>
          <w:p>
            <w:pPr>
              <w:spacing w:after="0" w:line="20" w:lineRule="exact"/>
              <w:rPr>
                <w:sz w:val="1"/>
                <w:szCs w:val="1"/>
                <w:color w:val="auto"/>
              </w:rPr>
            </w:pPr>
          </w:p>
        </w:tc>
        <w:tc>
          <w:tcPr>
            <w:tcW w:w="300" w:type="dxa"/>
            <w:vAlign w:val="bottom"/>
            <w:tcBorders>
              <w:bottom w:val="single" w:sz="8" w:color="47829E"/>
            </w:tcBorders>
          </w:tcPr>
          <w:p>
            <w:pPr>
              <w:spacing w:after="0" w:line="20" w:lineRule="exact"/>
              <w:rPr>
                <w:sz w:val="1"/>
                <w:szCs w:val="1"/>
                <w:color w:val="auto"/>
              </w:rPr>
            </w:pPr>
          </w:p>
        </w:tc>
        <w:tc>
          <w:tcPr>
            <w:tcW w:w="1080" w:type="dxa"/>
            <w:vAlign w:val="bottom"/>
            <w:tcBorders>
              <w:bottom w:val="single" w:sz="8" w:color="47829E"/>
            </w:tcBorders>
          </w:tcPr>
          <w:p>
            <w:pPr>
              <w:spacing w:after="0" w:line="20" w:lineRule="exact"/>
              <w:rPr>
                <w:sz w:val="1"/>
                <w:szCs w:val="1"/>
                <w:color w:val="auto"/>
              </w:rPr>
            </w:pPr>
          </w:p>
        </w:tc>
        <w:tc>
          <w:tcPr>
            <w:tcW w:w="340" w:type="dxa"/>
            <w:vAlign w:val="bottom"/>
            <w:tcBorders>
              <w:bottom w:val="single" w:sz="8" w:color="47829E"/>
              <w:right w:val="single" w:sz="8" w:color="47829E"/>
            </w:tcBorders>
          </w:tcPr>
          <w:p>
            <w:pPr>
              <w:spacing w:after="0" w:line="20" w:lineRule="exact"/>
              <w:rPr>
                <w:sz w:val="1"/>
                <w:szCs w:val="1"/>
                <w:color w:val="auto"/>
              </w:rPr>
            </w:pPr>
          </w:p>
        </w:tc>
      </w:tr>
      <w:tr>
        <w:trPr>
          <w:trHeight w:val="331"/>
        </w:trPr>
        <w:tc>
          <w:tcPr>
            <w:tcW w:w="4980" w:type="dxa"/>
            <w:vAlign w:val="bottom"/>
          </w:tcPr>
          <w:p>
            <w:pPr>
              <w:spacing w:after="0"/>
              <w:rPr>
                <w:sz w:val="24"/>
                <w:szCs w:val="24"/>
                <w:color w:val="auto"/>
              </w:rPr>
            </w:pPr>
          </w:p>
        </w:tc>
        <w:tc>
          <w:tcPr>
            <w:tcW w:w="2900" w:type="dxa"/>
            <w:vAlign w:val="bottom"/>
            <w:gridSpan w:val="3"/>
          </w:tcPr>
          <w:p>
            <w:pPr>
              <w:jc w:val="right"/>
              <w:ind w:right="1932"/>
              <w:spacing w:after="0"/>
              <w:rPr>
                <w:sz w:val="20"/>
                <w:szCs w:val="20"/>
                <w:color w:val="auto"/>
              </w:rPr>
            </w:pPr>
            <w:r>
              <w:rPr>
                <w:rFonts w:ascii="Arial" w:cs="Arial" w:eastAsia="Arial" w:hAnsi="Arial"/>
                <w:sz w:val="18"/>
                <w:szCs w:val="18"/>
                <w:color w:val="auto"/>
              </w:rPr>
              <w:t>B-1</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440"/>
          </w:cols>
          <w:pgMar w:left="240" w:top="256" w:right="21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Heritage Consolidated Gross Margin (Excluding Freight and Delivery Revenues) for years ended December 31:</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820" w:type="dxa"/>
            <w:vAlign w:val="bottom"/>
            <w:tcBorders>
              <w:left w:val="single" w:sz="8" w:color="47829E"/>
              <w:right w:val="single" w:sz="8" w:color="47829E"/>
            </w:tcBorders>
            <w:shd w:val="clear" w:color="auto" w:fill="47829E"/>
          </w:tcPr>
          <w:p>
            <w:pPr>
              <w:spacing w:after="0"/>
              <w:rPr>
                <w:sz w:val="22"/>
                <w:szCs w:val="22"/>
                <w:color w:val="auto"/>
              </w:rPr>
            </w:pPr>
          </w:p>
        </w:tc>
        <w:tc>
          <w:tcPr>
            <w:tcW w:w="640" w:type="dxa"/>
            <w:vAlign w:val="bottom"/>
            <w:shd w:val="clear" w:color="auto" w:fill="47829E"/>
          </w:tcPr>
          <w:p>
            <w:pPr>
              <w:spacing w:after="0"/>
              <w:rPr>
                <w:sz w:val="22"/>
                <w:szCs w:val="22"/>
                <w:color w:val="auto"/>
              </w:rPr>
            </w:pPr>
          </w:p>
        </w:tc>
        <w:tc>
          <w:tcPr>
            <w:tcW w:w="300" w:type="dxa"/>
            <w:vAlign w:val="bottom"/>
            <w:shd w:val="clear" w:color="auto" w:fill="47829E"/>
          </w:tcPr>
          <w:p>
            <w:pPr>
              <w:spacing w:after="0"/>
              <w:rPr>
                <w:sz w:val="22"/>
                <w:szCs w:val="22"/>
                <w:color w:val="auto"/>
              </w:rPr>
            </w:pPr>
          </w:p>
        </w:tc>
        <w:tc>
          <w:tcPr>
            <w:tcW w:w="1080" w:type="dxa"/>
            <w:vAlign w:val="bottom"/>
            <w:tcBorders>
              <w:right w:val="single" w:sz="8" w:color="47829E"/>
            </w:tcBorders>
            <w:gridSpan w:val="2"/>
            <w:shd w:val="clear" w:color="auto" w:fill="47829E"/>
          </w:tcPr>
          <w:p>
            <w:pPr>
              <w:jc w:val="right"/>
              <w:ind w:right="412"/>
              <w:spacing w:after="0"/>
              <w:rPr>
                <w:sz w:val="20"/>
                <w:szCs w:val="20"/>
                <w:color w:val="auto"/>
              </w:rPr>
            </w:pPr>
            <w:r>
              <w:rPr>
                <w:rFonts w:ascii="Arial" w:cs="Arial" w:eastAsia="Arial" w:hAnsi="Arial"/>
                <w:sz w:val="18"/>
                <w:szCs w:val="18"/>
                <w:b w:val="1"/>
                <w:bCs w:val="1"/>
                <w:color w:val="FFFFFF"/>
              </w:rPr>
              <w:t>2014</w:t>
            </w:r>
          </w:p>
        </w:tc>
        <w:tc>
          <w:tcPr>
            <w:tcW w:w="240" w:type="dxa"/>
            <w:vAlign w:val="bottom"/>
            <w:tcBorders>
              <w:right w:val="single" w:sz="8" w:color="47829E"/>
            </w:tcBorders>
            <w:shd w:val="clear" w:color="auto" w:fill="47829E"/>
          </w:tcPr>
          <w:p>
            <w:pPr>
              <w:spacing w:after="0"/>
              <w:rPr>
                <w:sz w:val="22"/>
                <w:szCs w:val="22"/>
                <w:color w:val="auto"/>
              </w:rPr>
            </w:pPr>
          </w:p>
        </w:tc>
        <w:tc>
          <w:tcPr>
            <w:tcW w:w="200" w:type="dxa"/>
            <w:vAlign w:val="bottom"/>
            <w:tcBorders>
              <w:right w:val="single" w:sz="8" w:color="47829E"/>
            </w:tcBorders>
            <w:shd w:val="clear" w:color="auto" w:fill="47829E"/>
          </w:tcPr>
          <w:p>
            <w:pPr>
              <w:spacing w:after="0"/>
              <w:rPr>
                <w:sz w:val="22"/>
                <w:szCs w:val="22"/>
                <w:color w:val="auto"/>
              </w:rPr>
            </w:pPr>
          </w:p>
        </w:tc>
        <w:tc>
          <w:tcPr>
            <w:tcW w:w="280" w:type="dxa"/>
            <w:vAlign w:val="bottom"/>
            <w:shd w:val="clear" w:color="auto" w:fill="47829E"/>
          </w:tcPr>
          <w:p>
            <w:pPr>
              <w:spacing w:after="0"/>
              <w:rPr>
                <w:sz w:val="22"/>
                <w:szCs w:val="22"/>
                <w:color w:val="auto"/>
              </w:rPr>
            </w:pPr>
          </w:p>
        </w:tc>
        <w:tc>
          <w:tcPr>
            <w:tcW w:w="140" w:type="dxa"/>
            <w:vAlign w:val="bottom"/>
            <w:tcBorders>
              <w:right w:val="single" w:sz="8" w:color="47829E"/>
            </w:tcBorders>
            <w:shd w:val="clear" w:color="auto" w:fill="47829E"/>
          </w:tcPr>
          <w:p>
            <w:pPr>
              <w:spacing w:after="0"/>
              <w:rPr>
                <w:sz w:val="22"/>
                <w:szCs w:val="22"/>
                <w:color w:val="auto"/>
              </w:rPr>
            </w:pPr>
          </w:p>
        </w:tc>
        <w:tc>
          <w:tcPr>
            <w:tcW w:w="20" w:type="dxa"/>
            <w:vAlign w:val="bottom"/>
            <w:shd w:val="clear" w:color="auto" w:fill="47829E"/>
          </w:tcPr>
          <w:p>
            <w:pPr>
              <w:spacing w:after="0"/>
              <w:rPr>
                <w:sz w:val="22"/>
                <w:szCs w:val="22"/>
                <w:color w:val="auto"/>
              </w:rPr>
            </w:pPr>
          </w:p>
        </w:tc>
        <w:tc>
          <w:tcPr>
            <w:tcW w:w="340" w:type="dxa"/>
            <w:vAlign w:val="bottom"/>
            <w:shd w:val="clear" w:color="auto" w:fill="47829E"/>
          </w:tcPr>
          <w:p>
            <w:pPr>
              <w:spacing w:after="0"/>
              <w:rPr>
                <w:sz w:val="22"/>
                <w:szCs w:val="22"/>
                <w:color w:val="auto"/>
              </w:rPr>
            </w:pPr>
          </w:p>
        </w:tc>
        <w:tc>
          <w:tcPr>
            <w:tcW w:w="1040" w:type="dxa"/>
            <w:vAlign w:val="bottom"/>
            <w:gridSpan w:val="2"/>
            <w:shd w:val="clear" w:color="auto" w:fill="47829E"/>
          </w:tcPr>
          <w:p>
            <w:pPr>
              <w:jc w:val="right"/>
              <w:ind w:right="500"/>
              <w:spacing w:after="0"/>
              <w:rPr>
                <w:sz w:val="20"/>
                <w:szCs w:val="20"/>
                <w:color w:val="auto"/>
              </w:rPr>
            </w:pPr>
            <w:r>
              <w:rPr>
                <w:rFonts w:ascii="Arial" w:cs="Arial" w:eastAsia="Arial" w:hAnsi="Arial"/>
                <w:sz w:val="18"/>
                <w:szCs w:val="18"/>
                <w:b w:val="1"/>
                <w:bCs w:val="1"/>
                <w:color w:val="FFFFFF"/>
              </w:rPr>
              <w:t>2013</w:t>
            </w:r>
          </w:p>
        </w:tc>
        <w:tc>
          <w:tcPr>
            <w:tcW w:w="100" w:type="dxa"/>
            <w:vAlign w:val="bottom"/>
            <w:shd w:val="clear" w:color="auto" w:fill="47829E"/>
          </w:tcPr>
          <w:p>
            <w:pPr>
              <w:spacing w:after="0"/>
              <w:rPr>
                <w:sz w:val="22"/>
                <w:szCs w:val="22"/>
                <w:color w:val="auto"/>
              </w:rPr>
            </w:pPr>
          </w:p>
        </w:tc>
        <w:tc>
          <w:tcPr>
            <w:tcW w:w="240" w:type="dxa"/>
            <w:vAlign w:val="bottom"/>
            <w:tcBorders>
              <w:right w:val="single" w:sz="8" w:color="47829E"/>
            </w:tcBorders>
            <w:shd w:val="clear" w:color="auto" w:fill="47829E"/>
          </w:tcPr>
          <w:p>
            <w:pPr>
              <w:spacing w:after="0"/>
              <w:rPr>
                <w:sz w:val="22"/>
                <w:szCs w:val="22"/>
                <w:color w:val="auto"/>
              </w:rPr>
            </w:pPr>
          </w:p>
        </w:tc>
      </w:tr>
      <w:tr>
        <w:trPr>
          <w:trHeight w:val="203"/>
        </w:trPr>
        <w:tc>
          <w:tcPr>
            <w:tcW w:w="682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Heritage gross profit</w:t>
            </w:r>
          </w:p>
        </w:tc>
        <w:tc>
          <w:tcPr>
            <w:tcW w:w="640" w:type="dxa"/>
            <w:vAlign w:val="bottom"/>
          </w:tcPr>
          <w:p>
            <w:pPr>
              <w:spacing w:after="0"/>
              <w:rPr>
                <w:sz w:val="17"/>
                <w:szCs w:val="17"/>
                <w:color w:val="auto"/>
              </w:rPr>
            </w:pPr>
          </w:p>
        </w:tc>
        <w:tc>
          <w:tcPr>
            <w:tcW w:w="30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454,625</w:t>
            </w:r>
          </w:p>
        </w:tc>
        <w:tc>
          <w:tcPr>
            <w:tcW w:w="240" w:type="dxa"/>
            <w:vAlign w:val="bottom"/>
            <w:tcBorders>
              <w:right w:val="single" w:sz="8" w:color="47829E"/>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363,957</w:t>
            </w:r>
          </w:p>
        </w:tc>
        <w:tc>
          <w:tcPr>
            <w:tcW w:w="100" w:type="dxa"/>
            <w:vAlign w:val="bottom"/>
          </w:tcPr>
          <w:p>
            <w:pPr>
              <w:spacing w:after="0"/>
              <w:rPr>
                <w:sz w:val="17"/>
                <w:szCs w:val="17"/>
                <w:color w:val="auto"/>
              </w:rPr>
            </w:pPr>
          </w:p>
        </w:tc>
        <w:tc>
          <w:tcPr>
            <w:tcW w:w="240" w:type="dxa"/>
            <w:vAlign w:val="bottom"/>
            <w:tcBorders>
              <w:right w:val="single" w:sz="8" w:color="47829E"/>
            </w:tcBorders>
          </w:tcPr>
          <w:p>
            <w:pPr>
              <w:spacing w:after="0"/>
              <w:rPr>
                <w:sz w:val="17"/>
                <w:szCs w:val="17"/>
                <w:color w:val="auto"/>
              </w:rPr>
            </w:pPr>
          </w:p>
        </w:tc>
      </w:tr>
      <w:tr>
        <w:trPr>
          <w:trHeight w:val="20"/>
        </w:trPr>
        <w:tc>
          <w:tcPr>
            <w:tcW w:w="6820" w:type="dxa"/>
            <w:vAlign w:val="bottom"/>
            <w:tcBorders>
              <w:left w:val="single" w:sz="8" w:color="47829E"/>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r>
      <w:tr>
        <w:trPr>
          <w:trHeight w:val="197"/>
        </w:trPr>
        <w:tc>
          <w:tcPr>
            <w:tcW w:w="6820" w:type="dxa"/>
            <w:vAlign w:val="bottom"/>
            <w:tcBorders>
              <w:left w:val="single" w:sz="8" w:color="47829E"/>
              <w:right w:val="single" w:sz="8" w:color="47829E"/>
            </w:tcBorders>
            <w:shd w:val="clear" w:color="auto" w:fill="E3ECF0"/>
          </w:tcPr>
          <w:p>
            <w:pPr>
              <w:ind w:left="120"/>
              <w:spacing w:after="0" w:line="196" w:lineRule="exact"/>
              <w:rPr>
                <w:sz w:val="20"/>
                <w:szCs w:val="20"/>
                <w:color w:val="auto"/>
              </w:rPr>
            </w:pPr>
            <w:r>
              <w:rPr>
                <w:rFonts w:ascii="Arial" w:cs="Arial" w:eastAsia="Arial" w:hAnsi="Arial"/>
                <w:sz w:val="18"/>
                <w:szCs w:val="18"/>
                <w:color w:val="auto"/>
              </w:rPr>
              <w:t>Heritage total revenues</w:t>
            </w:r>
          </w:p>
        </w:tc>
        <w:tc>
          <w:tcPr>
            <w:tcW w:w="640" w:type="dxa"/>
            <w:vAlign w:val="bottom"/>
            <w:shd w:val="clear" w:color="auto" w:fill="E3ECF0"/>
          </w:tcPr>
          <w:p>
            <w:pPr>
              <w:spacing w:after="0"/>
              <w:rPr>
                <w:sz w:val="17"/>
                <w:szCs w:val="17"/>
                <w:color w:val="auto"/>
              </w:rPr>
            </w:pPr>
          </w:p>
        </w:tc>
        <w:tc>
          <w:tcPr>
            <w:tcW w:w="300" w:type="dxa"/>
            <w:vAlign w:val="bottom"/>
            <w:shd w:val="clear" w:color="auto" w:fill="E3ECF0"/>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E3ECF0"/>
            </w:tcBorders>
            <w:gridSpan w:val="2"/>
            <w:shd w:val="clear" w:color="auto" w:fill="E3ECF0"/>
          </w:tcPr>
          <w:p>
            <w:pPr>
              <w:jc w:val="right"/>
              <w:spacing w:after="0" w:line="196" w:lineRule="exact"/>
              <w:rPr>
                <w:sz w:val="20"/>
                <w:szCs w:val="20"/>
                <w:color w:val="auto"/>
              </w:rPr>
            </w:pPr>
            <w:r>
              <w:rPr>
                <w:rFonts w:ascii="Arial" w:cs="Arial" w:eastAsia="Arial" w:hAnsi="Arial"/>
                <w:sz w:val="18"/>
                <w:szCs w:val="18"/>
                <w:color w:val="auto"/>
              </w:rPr>
              <w:t>2,418,920</w:t>
            </w:r>
          </w:p>
        </w:tc>
        <w:tc>
          <w:tcPr>
            <w:tcW w:w="240" w:type="dxa"/>
            <w:vAlign w:val="bottom"/>
            <w:tcBorders>
              <w:right w:val="single" w:sz="8" w:color="47829E"/>
            </w:tcBorders>
            <w:shd w:val="clear" w:color="auto" w:fill="E3ECF0"/>
          </w:tcPr>
          <w:p>
            <w:pPr>
              <w:spacing w:after="0"/>
              <w:rPr>
                <w:sz w:val="17"/>
                <w:szCs w:val="17"/>
                <w:color w:val="auto"/>
              </w:rPr>
            </w:pPr>
          </w:p>
        </w:tc>
        <w:tc>
          <w:tcPr>
            <w:tcW w:w="200" w:type="dxa"/>
            <w:vAlign w:val="bottom"/>
            <w:tcBorders>
              <w:right w:val="single" w:sz="8" w:color="E3ECF0"/>
            </w:tcBorders>
            <w:shd w:val="clear" w:color="auto" w:fill="E3ECF0"/>
          </w:tcPr>
          <w:p>
            <w:pPr>
              <w:spacing w:after="0"/>
              <w:rPr>
                <w:sz w:val="17"/>
                <w:szCs w:val="17"/>
                <w:color w:val="auto"/>
              </w:rPr>
            </w:pPr>
          </w:p>
        </w:tc>
        <w:tc>
          <w:tcPr>
            <w:tcW w:w="280" w:type="dxa"/>
            <w:vAlign w:val="bottom"/>
            <w:shd w:val="clear" w:color="auto" w:fill="E3ECF0"/>
          </w:tcPr>
          <w:p>
            <w:pPr>
              <w:spacing w:after="0"/>
              <w:rPr>
                <w:sz w:val="17"/>
                <w:szCs w:val="17"/>
                <w:color w:val="auto"/>
              </w:rPr>
            </w:pPr>
          </w:p>
        </w:tc>
        <w:tc>
          <w:tcPr>
            <w:tcW w:w="140" w:type="dxa"/>
            <w:vAlign w:val="bottom"/>
            <w:tcBorders>
              <w:right w:val="single" w:sz="8" w:color="E3ECF0"/>
            </w:tcBorders>
            <w:shd w:val="clear" w:color="auto" w:fill="E3ECF0"/>
          </w:tcPr>
          <w:p>
            <w:pPr>
              <w:spacing w:after="0"/>
              <w:rPr>
                <w:sz w:val="17"/>
                <w:szCs w:val="17"/>
                <w:color w:val="auto"/>
              </w:rPr>
            </w:pPr>
          </w:p>
        </w:tc>
        <w:tc>
          <w:tcPr>
            <w:tcW w:w="360" w:type="dxa"/>
            <w:vAlign w:val="bottom"/>
            <w:gridSpan w:val="2"/>
            <w:shd w:val="clear" w:color="auto" w:fill="E3ECF0"/>
          </w:tcPr>
          <w:p>
            <w:pPr>
              <w:jc w:val="right"/>
              <w:ind w:right="24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E3ECF0"/>
          </w:tcPr>
          <w:p>
            <w:pPr>
              <w:jc w:val="right"/>
              <w:spacing w:after="0" w:line="196" w:lineRule="exact"/>
              <w:rPr>
                <w:sz w:val="20"/>
                <w:szCs w:val="20"/>
                <w:color w:val="auto"/>
              </w:rPr>
            </w:pPr>
            <w:r>
              <w:rPr>
                <w:rFonts w:ascii="Arial" w:cs="Arial" w:eastAsia="Arial" w:hAnsi="Arial"/>
                <w:sz w:val="18"/>
                <w:szCs w:val="18"/>
                <w:color w:val="auto"/>
              </w:rPr>
              <w:t>2,155,551</w:t>
            </w:r>
          </w:p>
        </w:tc>
        <w:tc>
          <w:tcPr>
            <w:tcW w:w="100" w:type="dxa"/>
            <w:vAlign w:val="bottom"/>
            <w:shd w:val="clear" w:color="auto" w:fill="E3ECF0"/>
          </w:tcPr>
          <w:p>
            <w:pPr>
              <w:spacing w:after="0"/>
              <w:rPr>
                <w:sz w:val="17"/>
                <w:szCs w:val="17"/>
                <w:color w:val="auto"/>
              </w:rPr>
            </w:pPr>
          </w:p>
        </w:tc>
        <w:tc>
          <w:tcPr>
            <w:tcW w:w="240" w:type="dxa"/>
            <w:vAlign w:val="bottom"/>
            <w:tcBorders>
              <w:right w:val="single" w:sz="8" w:color="47829E"/>
            </w:tcBorders>
            <w:shd w:val="clear" w:color="auto" w:fill="E3ECF0"/>
          </w:tcPr>
          <w:p>
            <w:pPr>
              <w:spacing w:after="0"/>
              <w:rPr>
                <w:sz w:val="17"/>
                <w:szCs w:val="17"/>
                <w:color w:val="auto"/>
              </w:rPr>
            </w:pPr>
          </w:p>
        </w:tc>
      </w:tr>
      <w:tr>
        <w:trPr>
          <w:trHeight w:val="203"/>
        </w:trPr>
        <w:tc>
          <w:tcPr>
            <w:tcW w:w="6820" w:type="dxa"/>
            <w:vAlign w:val="bottom"/>
            <w:tcBorders>
              <w:left w:val="single" w:sz="8" w:color="47829E"/>
              <w:right w:val="single" w:sz="8" w:color="47829E"/>
            </w:tcBorders>
          </w:tcPr>
          <w:p>
            <w:pPr>
              <w:ind w:left="120"/>
              <w:spacing w:after="0" w:line="202" w:lineRule="exact"/>
              <w:rPr>
                <w:sz w:val="20"/>
                <w:szCs w:val="20"/>
                <w:color w:val="auto"/>
              </w:rPr>
            </w:pPr>
            <w:r>
              <w:rPr>
                <w:rFonts w:ascii="Arial" w:cs="Arial" w:eastAsia="Arial" w:hAnsi="Arial"/>
                <w:sz w:val="18"/>
                <w:szCs w:val="18"/>
                <w:color w:val="auto"/>
              </w:rPr>
              <w:t>Less: Heritage freight and delivery revenues</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Borders>
              <w:right w:val="single" w:sz="8" w:color="47829E"/>
            </w:tcBorders>
            <w:gridSpan w:val="3"/>
          </w:tcPr>
          <w:p>
            <w:pPr>
              <w:jc w:val="right"/>
              <w:ind w:right="92"/>
              <w:spacing w:after="0" w:line="202" w:lineRule="exact"/>
              <w:rPr>
                <w:sz w:val="20"/>
                <w:szCs w:val="20"/>
                <w:color w:val="auto"/>
              </w:rPr>
            </w:pPr>
            <w:r>
              <w:rPr>
                <w:rFonts w:ascii="Arial" w:cs="Arial" w:eastAsia="Arial" w:hAnsi="Arial"/>
                <w:sz w:val="18"/>
                <w:szCs w:val="18"/>
                <w:color w:val="auto"/>
              </w:rPr>
              <w:t>(251,404)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(212,333)</w:t>
            </w:r>
          </w:p>
        </w:tc>
        <w:tc>
          <w:tcPr>
            <w:tcW w:w="240" w:type="dxa"/>
            <w:vAlign w:val="bottom"/>
            <w:tcBorders>
              <w:right w:val="single" w:sz="8" w:color="47829E"/>
            </w:tcBorders>
          </w:tcPr>
          <w:p>
            <w:pPr>
              <w:spacing w:after="0"/>
              <w:rPr>
                <w:sz w:val="17"/>
                <w:szCs w:val="17"/>
                <w:color w:val="auto"/>
              </w:rPr>
            </w:pPr>
          </w:p>
        </w:tc>
      </w:tr>
      <w:tr>
        <w:trPr>
          <w:trHeight w:val="27"/>
        </w:trPr>
        <w:tc>
          <w:tcPr>
            <w:tcW w:w="6820" w:type="dxa"/>
            <w:vAlign w:val="bottom"/>
            <w:tcBorders>
              <w:left w:val="single" w:sz="8" w:color="47829E"/>
              <w:right w:val="single" w:sz="8" w:color="47829E"/>
            </w:tcBorders>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47829E"/>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right w:val="single" w:sz="8" w:color="47829E"/>
            </w:tcBorders>
          </w:tcPr>
          <w:p>
            <w:pPr>
              <w:spacing w:after="0"/>
              <w:rPr>
                <w:sz w:val="2"/>
                <w:szCs w:val="2"/>
                <w:color w:val="auto"/>
              </w:rPr>
            </w:pPr>
          </w:p>
        </w:tc>
      </w:tr>
      <w:tr>
        <w:trPr>
          <w:trHeight w:val="203"/>
        </w:trPr>
        <w:tc>
          <w:tcPr>
            <w:tcW w:w="6820" w:type="dxa"/>
            <w:vAlign w:val="bottom"/>
            <w:tcBorders>
              <w:left w:val="single" w:sz="8" w:color="47829E"/>
              <w:right w:val="single" w:sz="8" w:color="47829E"/>
            </w:tcBorders>
            <w:shd w:val="clear" w:color="auto" w:fill="E3ECF0"/>
          </w:tcPr>
          <w:p>
            <w:pPr>
              <w:ind w:left="120"/>
              <w:spacing w:after="0" w:line="202" w:lineRule="exact"/>
              <w:rPr>
                <w:sz w:val="20"/>
                <w:szCs w:val="20"/>
                <w:color w:val="auto"/>
              </w:rPr>
            </w:pPr>
            <w:r>
              <w:rPr>
                <w:rFonts w:ascii="Arial" w:cs="Arial" w:eastAsia="Arial" w:hAnsi="Arial"/>
                <w:sz w:val="18"/>
                <w:szCs w:val="18"/>
                <w:color w:val="auto"/>
              </w:rPr>
              <w:t>Heritage net sales</w:t>
            </w:r>
          </w:p>
        </w:tc>
        <w:tc>
          <w:tcPr>
            <w:tcW w:w="640" w:type="dxa"/>
            <w:vAlign w:val="bottom"/>
            <w:shd w:val="clear" w:color="auto" w:fill="E3ECF0"/>
          </w:tcPr>
          <w:p>
            <w:pPr>
              <w:spacing w:after="0"/>
              <w:rPr>
                <w:sz w:val="17"/>
                <w:szCs w:val="17"/>
                <w:color w:val="auto"/>
              </w:rPr>
            </w:pPr>
          </w:p>
        </w:tc>
        <w:tc>
          <w:tcPr>
            <w:tcW w:w="300" w:type="dxa"/>
            <w:vAlign w:val="bottom"/>
            <w:shd w:val="clear" w:color="auto" w:fill="E3ECF0"/>
          </w:tcPr>
          <w:p>
            <w:pPr>
              <w:jc w:val="right"/>
              <w:ind w:right="112"/>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E3ECF0"/>
            </w:tcBorders>
            <w:gridSpan w:val="2"/>
            <w:shd w:val="clear" w:color="auto" w:fill="E3ECF0"/>
          </w:tcPr>
          <w:p>
            <w:pPr>
              <w:jc w:val="right"/>
              <w:spacing w:after="0" w:line="202" w:lineRule="exact"/>
              <w:rPr>
                <w:sz w:val="20"/>
                <w:szCs w:val="20"/>
                <w:color w:val="auto"/>
              </w:rPr>
            </w:pPr>
            <w:r>
              <w:rPr>
                <w:rFonts w:ascii="Arial" w:cs="Arial" w:eastAsia="Arial" w:hAnsi="Arial"/>
                <w:sz w:val="18"/>
                <w:szCs w:val="18"/>
                <w:color w:val="auto"/>
              </w:rPr>
              <w:t>2,167,516</w:t>
            </w:r>
          </w:p>
        </w:tc>
        <w:tc>
          <w:tcPr>
            <w:tcW w:w="240" w:type="dxa"/>
            <w:vAlign w:val="bottom"/>
            <w:tcBorders>
              <w:right w:val="single" w:sz="8" w:color="47829E"/>
            </w:tcBorders>
            <w:shd w:val="clear" w:color="auto" w:fill="E3ECF0"/>
          </w:tcPr>
          <w:p>
            <w:pPr>
              <w:spacing w:after="0"/>
              <w:rPr>
                <w:sz w:val="17"/>
                <w:szCs w:val="17"/>
                <w:color w:val="auto"/>
              </w:rPr>
            </w:pPr>
          </w:p>
        </w:tc>
        <w:tc>
          <w:tcPr>
            <w:tcW w:w="200" w:type="dxa"/>
            <w:vAlign w:val="bottom"/>
            <w:tcBorders>
              <w:right w:val="single" w:sz="8" w:color="E3ECF0"/>
            </w:tcBorders>
            <w:shd w:val="clear" w:color="auto" w:fill="E3ECF0"/>
          </w:tcPr>
          <w:p>
            <w:pPr>
              <w:spacing w:after="0"/>
              <w:rPr>
                <w:sz w:val="17"/>
                <w:szCs w:val="17"/>
                <w:color w:val="auto"/>
              </w:rPr>
            </w:pPr>
          </w:p>
        </w:tc>
        <w:tc>
          <w:tcPr>
            <w:tcW w:w="280" w:type="dxa"/>
            <w:vAlign w:val="bottom"/>
            <w:shd w:val="clear" w:color="auto" w:fill="E3ECF0"/>
          </w:tcPr>
          <w:p>
            <w:pPr>
              <w:spacing w:after="0"/>
              <w:rPr>
                <w:sz w:val="17"/>
                <w:szCs w:val="17"/>
                <w:color w:val="auto"/>
              </w:rPr>
            </w:pPr>
          </w:p>
        </w:tc>
        <w:tc>
          <w:tcPr>
            <w:tcW w:w="140" w:type="dxa"/>
            <w:vAlign w:val="bottom"/>
            <w:tcBorders>
              <w:right w:val="single" w:sz="8" w:color="E3ECF0"/>
            </w:tcBorders>
            <w:shd w:val="clear" w:color="auto" w:fill="E3ECF0"/>
          </w:tcPr>
          <w:p>
            <w:pPr>
              <w:spacing w:after="0"/>
              <w:rPr>
                <w:sz w:val="17"/>
                <w:szCs w:val="17"/>
                <w:color w:val="auto"/>
              </w:rPr>
            </w:pPr>
          </w:p>
        </w:tc>
        <w:tc>
          <w:tcPr>
            <w:tcW w:w="360" w:type="dxa"/>
            <w:vAlign w:val="bottom"/>
            <w:gridSpan w:val="2"/>
            <w:shd w:val="clear" w:color="auto" w:fill="E3ECF0"/>
          </w:tcPr>
          <w:p>
            <w:pPr>
              <w:jc w:val="right"/>
              <w:ind w:right="24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E3ECF0"/>
          </w:tcPr>
          <w:p>
            <w:pPr>
              <w:jc w:val="right"/>
              <w:spacing w:after="0" w:line="202" w:lineRule="exact"/>
              <w:rPr>
                <w:sz w:val="20"/>
                <w:szCs w:val="20"/>
                <w:color w:val="auto"/>
              </w:rPr>
            </w:pPr>
            <w:r>
              <w:rPr>
                <w:rFonts w:ascii="Arial" w:cs="Arial" w:eastAsia="Arial" w:hAnsi="Arial"/>
                <w:sz w:val="18"/>
                <w:szCs w:val="18"/>
                <w:color w:val="auto"/>
              </w:rPr>
              <w:t>1,943,218</w:t>
            </w:r>
          </w:p>
        </w:tc>
        <w:tc>
          <w:tcPr>
            <w:tcW w:w="100" w:type="dxa"/>
            <w:vAlign w:val="bottom"/>
            <w:shd w:val="clear" w:color="auto" w:fill="E3ECF0"/>
          </w:tcPr>
          <w:p>
            <w:pPr>
              <w:spacing w:after="0"/>
              <w:rPr>
                <w:sz w:val="17"/>
                <w:szCs w:val="17"/>
                <w:color w:val="auto"/>
              </w:rPr>
            </w:pPr>
          </w:p>
        </w:tc>
        <w:tc>
          <w:tcPr>
            <w:tcW w:w="240" w:type="dxa"/>
            <w:vAlign w:val="bottom"/>
            <w:tcBorders>
              <w:right w:val="single" w:sz="8" w:color="47829E"/>
            </w:tcBorders>
            <w:shd w:val="clear" w:color="auto" w:fill="E3ECF0"/>
          </w:tcPr>
          <w:p>
            <w:pPr>
              <w:spacing w:after="0"/>
              <w:rPr>
                <w:sz w:val="17"/>
                <w:szCs w:val="17"/>
                <w:color w:val="auto"/>
              </w:rPr>
            </w:pPr>
          </w:p>
        </w:tc>
      </w:tr>
      <w:tr>
        <w:trPr>
          <w:trHeight w:val="20"/>
        </w:trPr>
        <w:tc>
          <w:tcPr>
            <w:tcW w:w="6820" w:type="dxa"/>
            <w:vAlign w:val="bottom"/>
            <w:tcBorders>
              <w:left w:val="single" w:sz="8" w:color="47829E"/>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r>
      <w:tr>
        <w:trPr>
          <w:trHeight w:val="197"/>
        </w:trPr>
        <w:tc>
          <w:tcPr>
            <w:tcW w:w="6820" w:type="dxa"/>
            <w:vAlign w:val="bottom"/>
            <w:tcBorders>
              <w:left w:val="single" w:sz="8" w:color="47829E"/>
              <w:right w:val="single" w:sz="8" w:color="47829E"/>
            </w:tcBorders>
          </w:tcPr>
          <w:p>
            <w:pPr>
              <w:ind w:left="120"/>
              <w:spacing w:after="0" w:line="196" w:lineRule="exact"/>
              <w:rPr>
                <w:sz w:val="20"/>
                <w:szCs w:val="20"/>
                <w:color w:val="auto"/>
              </w:rPr>
            </w:pPr>
            <w:r>
              <w:rPr>
                <w:rFonts w:ascii="Arial" w:cs="Arial" w:eastAsia="Arial" w:hAnsi="Arial"/>
                <w:sz w:val="18"/>
                <w:szCs w:val="18"/>
                <w:color w:val="auto"/>
              </w:rPr>
              <w:t>Heritage gross margin (excluding freight and delivery revenues)</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Borders>
              <w:right w:val="single" w:sz="8" w:color="47829E"/>
            </w:tcBorders>
            <w:gridSpan w:val="3"/>
          </w:tcPr>
          <w:p>
            <w:pPr>
              <w:jc w:val="right"/>
              <w:spacing w:after="0" w:line="196" w:lineRule="exact"/>
              <w:rPr>
                <w:sz w:val="20"/>
                <w:szCs w:val="20"/>
                <w:color w:val="auto"/>
              </w:rPr>
            </w:pPr>
            <w:r>
              <w:rPr>
                <w:rFonts w:ascii="Arial" w:cs="Arial" w:eastAsia="Arial" w:hAnsi="Arial"/>
                <w:sz w:val="18"/>
                <w:szCs w:val="18"/>
                <w:color w:val="auto"/>
              </w:rPr>
              <w:t>21.0%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Borders>
              <w:right w:val="single" w:sz="8" w:color="47829E"/>
            </w:tcBorders>
            <w:gridSpan w:val="4"/>
          </w:tcPr>
          <w:p>
            <w:pPr>
              <w:jc w:val="right"/>
              <w:ind w:right="180"/>
              <w:spacing w:after="0" w:line="196" w:lineRule="exact"/>
              <w:rPr>
                <w:sz w:val="20"/>
                <w:szCs w:val="20"/>
                <w:color w:val="auto"/>
              </w:rPr>
            </w:pPr>
            <w:r>
              <w:rPr>
                <w:rFonts w:ascii="Arial" w:cs="Arial" w:eastAsia="Arial" w:hAnsi="Arial"/>
                <w:sz w:val="18"/>
                <w:szCs w:val="18"/>
                <w:color w:val="auto"/>
              </w:rPr>
              <w:t>18.7%</w:t>
            </w:r>
          </w:p>
        </w:tc>
      </w:tr>
      <w:tr>
        <w:trPr>
          <w:trHeight w:val="20"/>
        </w:trPr>
        <w:tc>
          <w:tcPr>
            <w:tcW w:w="6820" w:type="dxa"/>
            <w:vAlign w:val="bottom"/>
            <w:tcBorders>
              <w:left w:val="single" w:sz="8" w:color="47829E"/>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r>
      <w:tr>
        <w:trPr>
          <w:trHeight w:val="20"/>
        </w:trPr>
        <w:tc>
          <w:tcPr>
            <w:tcW w:w="6820" w:type="dxa"/>
            <w:vAlign w:val="bottom"/>
            <w:tcBorders>
              <w:left w:val="single" w:sz="8" w:color="47829E"/>
              <w:righ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r>
      <w:tr>
        <w:trPr>
          <w:trHeight w:val="20"/>
        </w:trPr>
        <w:tc>
          <w:tcPr>
            <w:tcW w:w="6820" w:type="dxa"/>
            <w:vAlign w:val="bottom"/>
            <w:tcBorders>
              <w:left w:val="single" w:sz="8" w:color="47829E"/>
              <w:bottom w:val="single" w:sz="8" w:color="47829E"/>
              <w:right w:val="single" w:sz="8" w:color="47829E"/>
            </w:tcBorders>
          </w:tcPr>
          <w:p>
            <w:pPr>
              <w:spacing w:after="0" w:line="20" w:lineRule="exact"/>
              <w:rPr>
                <w:sz w:val="1"/>
                <w:szCs w:val="1"/>
                <w:color w:val="auto"/>
              </w:rPr>
            </w:pPr>
          </w:p>
        </w:tc>
        <w:tc>
          <w:tcPr>
            <w:tcW w:w="640" w:type="dxa"/>
            <w:vAlign w:val="bottom"/>
            <w:tcBorders>
              <w:bottom w:val="single" w:sz="8" w:color="47829E"/>
            </w:tcBorders>
          </w:tcPr>
          <w:p>
            <w:pPr>
              <w:spacing w:after="0" w:line="20" w:lineRule="exact"/>
              <w:rPr>
                <w:sz w:val="1"/>
                <w:szCs w:val="1"/>
                <w:color w:val="auto"/>
              </w:rPr>
            </w:pPr>
          </w:p>
        </w:tc>
        <w:tc>
          <w:tcPr>
            <w:tcW w:w="300" w:type="dxa"/>
            <w:vAlign w:val="bottom"/>
            <w:tcBorders>
              <w:bottom w:val="single" w:sz="8" w:color="47829E"/>
            </w:tcBorders>
          </w:tcPr>
          <w:p>
            <w:pPr>
              <w:spacing w:after="0" w:line="20" w:lineRule="exact"/>
              <w:rPr>
                <w:sz w:val="1"/>
                <w:szCs w:val="1"/>
                <w:color w:val="auto"/>
              </w:rPr>
            </w:pPr>
          </w:p>
        </w:tc>
        <w:tc>
          <w:tcPr>
            <w:tcW w:w="300" w:type="dxa"/>
            <w:vAlign w:val="bottom"/>
            <w:tcBorders>
              <w:bottom w:val="single" w:sz="8" w:color="47829E"/>
            </w:tcBorders>
          </w:tcPr>
          <w:p>
            <w:pPr>
              <w:spacing w:after="0" w:line="20" w:lineRule="exact"/>
              <w:rPr>
                <w:sz w:val="1"/>
                <w:szCs w:val="1"/>
                <w:color w:val="auto"/>
              </w:rPr>
            </w:pPr>
          </w:p>
        </w:tc>
        <w:tc>
          <w:tcPr>
            <w:tcW w:w="780" w:type="dxa"/>
            <w:vAlign w:val="bottom"/>
            <w:tcBorders>
              <w:bottom w:val="single" w:sz="8" w:color="47829E"/>
            </w:tcBorders>
          </w:tcPr>
          <w:p>
            <w:pPr>
              <w:spacing w:after="0" w:line="20" w:lineRule="exact"/>
              <w:rPr>
                <w:sz w:val="1"/>
                <w:szCs w:val="1"/>
                <w:color w:val="auto"/>
              </w:rPr>
            </w:pPr>
          </w:p>
        </w:tc>
        <w:tc>
          <w:tcPr>
            <w:tcW w:w="240" w:type="dxa"/>
            <w:vAlign w:val="bottom"/>
            <w:tcBorders>
              <w:bottom w:val="single" w:sz="8" w:color="47829E"/>
              <w:right w:val="single" w:sz="8" w:color="47829E"/>
            </w:tcBorders>
          </w:tcPr>
          <w:p>
            <w:pPr>
              <w:spacing w:after="0" w:line="20" w:lineRule="exact"/>
              <w:rPr>
                <w:sz w:val="1"/>
                <w:szCs w:val="1"/>
                <w:color w:val="auto"/>
              </w:rPr>
            </w:pPr>
          </w:p>
        </w:tc>
        <w:tc>
          <w:tcPr>
            <w:tcW w:w="200" w:type="dxa"/>
            <w:vAlign w:val="bottom"/>
            <w:tcBorders>
              <w:bottom w:val="single" w:sz="8" w:color="47829E"/>
            </w:tcBorders>
          </w:tcPr>
          <w:p>
            <w:pPr>
              <w:spacing w:after="0" w:line="20" w:lineRule="exact"/>
              <w:rPr>
                <w:sz w:val="1"/>
                <w:szCs w:val="1"/>
                <w:color w:val="auto"/>
              </w:rPr>
            </w:pPr>
          </w:p>
        </w:tc>
        <w:tc>
          <w:tcPr>
            <w:tcW w:w="280" w:type="dxa"/>
            <w:vAlign w:val="bottom"/>
            <w:tcBorders>
              <w:bottom w:val="single" w:sz="8" w:color="47829E"/>
            </w:tcBorders>
          </w:tcPr>
          <w:p>
            <w:pPr>
              <w:spacing w:after="0" w:line="20" w:lineRule="exact"/>
              <w:rPr>
                <w:sz w:val="1"/>
                <w:szCs w:val="1"/>
                <w:color w:val="auto"/>
              </w:rPr>
            </w:pPr>
          </w:p>
        </w:tc>
        <w:tc>
          <w:tcPr>
            <w:tcW w:w="140" w:type="dxa"/>
            <w:vAlign w:val="bottom"/>
            <w:tcBorders>
              <w:bottom w:val="single" w:sz="8" w:color="47829E"/>
            </w:tcBorders>
          </w:tcPr>
          <w:p>
            <w:pPr>
              <w:spacing w:after="0" w:line="20" w:lineRule="exact"/>
              <w:rPr>
                <w:sz w:val="1"/>
                <w:szCs w:val="1"/>
                <w:color w:val="auto"/>
              </w:rPr>
            </w:pPr>
          </w:p>
        </w:tc>
        <w:tc>
          <w:tcPr>
            <w:tcW w:w="20" w:type="dxa"/>
            <w:vAlign w:val="bottom"/>
            <w:tcBorders>
              <w:bottom w:val="single" w:sz="8" w:color="47829E"/>
            </w:tcBorders>
          </w:tcPr>
          <w:p>
            <w:pPr>
              <w:spacing w:after="0" w:line="20" w:lineRule="exact"/>
              <w:rPr>
                <w:sz w:val="1"/>
                <w:szCs w:val="1"/>
                <w:color w:val="auto"/>
              </w:rPr>
            </w:pPr>
          </w:p>
        </w:tc>
        <w:tc>
          <w:tcPr>
            <w:tcW w:w="340" w:type="dxa"/>
            <w:vAlign w:val="bottom"/>
            <w:tcBorders>
              <w:bottom w:val="single" w:sz="8" w:color="47829E"/>
            </w:tcBorders>
          </w:tcPr>
          <w:p>
            <w:pPr>
              <w:spacing w:after="0" w:line="20" w:lineRule="exact"/>
              <w:rPr>
                <w:sz w:val="1"/>
                <w:szCs w:val="1"/>
                <w:color w:val="auto"/>
              </w:rPr>
            </w:pPr>
          </w:p>
        </w:tc>
        <w:tc>
          <w:tcPr>
            <w:tcW w:w="460" w:type="dxa"/>
            <w:vAlign w:val="bottom"/>
            <w:tcBorders>
              <w:bottom w:val="single" w:sz="8" w:color="47829E"/>
            </w:tcBorders>
          </w:tcPr>
          <w:p>
            <w:pPr>
              <w:spacing w:after="0" w:line="20" w:lineRule="exact"/>
              <w:rPr>
                <w:sz w:val="1"/>
                <w:szCs w:val="1"/>
                <w:color w:val="auto"/>
              </w:rPr>
            </w:pPr>
          </w:p>
        </w:tc>
        <w:tc>
          <w:tcPr>
            <w:tcW w:w="580" w:type="dxa"/>
            <w:vAlign w:val="bottom"/>
            <w:tcBorders>
              <w:bottom w:val="single" w:sz="8" w:color="47829E"/>
            </w:tcBorders>
          </w:tcPr>
          <w:p>
            <w:pPr>
              <w:spacing w:after="0" w:line="20" w:lineRule="exact"/>
              <w:rPr>
                <w:sz w:val="1"/>
                <w:szCs w:val="1"/>
                <w:color w:val="auto"/>
              </w:rPr>
            </w:pPr>
          </w:p>
        </w:tc>
        <w:tc>
          <w:tcPr>
            <w:tcW w:w="100" w:type="dxa"/>
            <w:vAlign w:val="bottom"/>
            <w:tcBorders>
              <w:bottom w:val="single" w:sz="8" w:color="47829E"/>
            </w:tcBorders>
          </w:tcPr>
          <w:p>
            <w:pPr>
              <w:spacing w:after="0" w:line="20" w:lineRule="exact"/>
              <w:rPr>
                <w:sz w:val="1"/>
                <w:szCs w:val="1"/>
                <w:color w:val="auto"/>
              </w:rPr>
            </w:pPr>
          </w:p>
        </w:tc>
        <w:tc>
          <w:tcPr>
            <w:tcW w:w="240" w:type="dxa"/>
            <w:vAlign w:val="bottom"/>
            <w:tcBorders>
              <w:bottom w:val="single" w:sz="8" w:color="47829E"/>
              <w:right w:val="single" w:sz="8" w:color="47829E"/>
            </w:tcBorders>
          </w:tcPr>
          <w:p>
            <w:pPr>
              <w:spacing w:after="0" w:line="20" w:lineRule="exact"/>
              <w:rPr>
                <w:sz w:val="1"/>
                <w:szCs w:val="1"/>
                <w:color w:val="auto"/>
              </w:rPr>
            </w:pPr>
          </w:p>
        </w:tc>
      </w:tr>
      <w:tr>
        <w:trPr>
          <w:trHeight w:val="344"/>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Consolidated EBITDA for years ended December 31:</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1"/>
        </w:trPr>
        <w:tc>
          <w:tcPr>
            <w:tcW w:w="6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4"/>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57"/>
        </w:trPr>
        <w:tc>
          <w:tcPr>
            <w:tcW w:w="6820" w:type="dxa"/>
            <w:vAlign w:val="bottom"/>
            <w:tcBorders>
              <w:left w:val="single" w:sz="8" w:color="47829E"/>
              <w:right w:val="single" w:sz="8" w:color="47829E"/>
            </w:tcBorders>
            <w:shd w:val="clear" w:color="auto" w:fill="47829E"/>
          </w:tcPr>
          <w:p>
            <w:pPr>
              <w:spacing w:after="0"/>
              <w:rPr>
                <w:sz w:val="22"/>
                <w:szCs w:val="22"/>
                <w:color w:val="auto"/>
              </w:rPr>
            </w:pPr>
          </w:p>
        </w:tc>
        <w:tc>
          <w:tcPr>
            <w:tcW w:w="640" w:type="dxa"/>
            <w:vAlign w:val="bottom"/>
            <w:shd w:val="clear" w:color="auto" w:fill="47829E"/>
          </w:tcPr>
          <w:p>
            <w:pPr>
              <w:spacing w:after="0"/>
              <w:rPr>
                <w:sz w:val="22"/>
                <w:szCs w:val="22"/>
                <w:color w:val="auto"/>
              </w:rPr>
            </w:pPr>
          </w:p>
        </w:tc>
        <w:tc>
          <w:tcPr>
            <w:tcW w:w="300" w:type="dxa"/>
            <w:vAlign w:val="bottom"/>
            <w:shd w:val="clear" w:color="auto" w:fill="47829E"/>
          </w:tcPr>
          <w:p>
            <w:pPr>
              <w:spacing w:after="0"/>
              <w:rPr>
                <w:sz w:val="22"/>
                <w:szCs w:val="22"/>
                <w:color w:val="auto"/>
              </w:rPr>
            </w:pPr>
          </w:p>
        </w:tc>
        <w:tc>
          <w:tcPr>
            <w:tcW w:w="1800" w:type="dxa"/>
            <w:vAlign w:val="bottom"/>
            <w:gridSpan w:val="5"/>
            <w:shd w:val="clear" w:color="auto" w:fill="47829E"/>
          </w:tcPr>
          <w:p>
            <w:pPr>
              <w:jc w:val="right"/>
              <w:ind w:right="160"/>
              <w:spacing w:after="0"/>
              <w:rPr>
                <w:sz w:val="20"/>
                <w:szCs w:val="20"/>
                <w:color w:val="auto"/>
              </w:rPr>
            </w:pPr>
            <w:r>
              <w:rPr>
                <w:rFonts w:ascii="Arial" w:cs="Arial" w:eastAsia="Arial" w:hAnsi="Arial"/>
                <w:sz w:val="18"/>
                <w:szCs w:val="18"/>
                <w:b w:val="1"/>
                <w:bCs w:val="1"/>
                <w:color w:val="FFFFFF"/>
              </w:rPr>
              <w:t>2014</w:t>
            </w:r>
          </w:p>
        </w:tc>
        <w:tc>
          <w:tcPr>
            <w:tcW w:w="140" w:type="dxa"/>
            <w:vAlign w:val="bottom"/>
            <w:tcBorders>
              <w:right w:val="single" w:sz="8" w:color="47829E"/>
            </w:tcBorders>
            <w:shd w:val="clear" w:color="auto" w:fill="47829E"/>
          </w:tcPr>
          <w:p>
            <w:pPr>
              <w:spacing w:after="0"/>
              <w:rPr>
                <w:sz w:val="22"/>
                <w:szCs w:val="22"/>
                <w:color w:val="auto"/>
              </w:rPr>
            </w:pPr>
          </w:p>
        </w:tc>
        <w:tc>
          <w:tcPr>
            <w:tcW w:w="20" w:type="dxa"/>
            <w:vAlign w:val="bottom"/>
            <w:shd w:val="clear" w:color="auto" w:fill="47829E"/>
          </w:tcPr>
          <w:p>
            <w:pPr>
              <w:spacing w:after="0"/>
              <w:rPr>
                <w:sz w:val="22"/>
                <w:szCs w:val="22"/>
                <w:color w:val="auto"/>
              </w:rPr>
            </w:pPr>
          </w:p>
        </w:tc>
        <w:tc>
          <w:tcPr>
            <w:tcW w:w="340" w:type="dxa"/>
            <w:vAlign w:val="bottom"/>
            <w:shd w:val="clear" w:color="auto" w:fill="47829E"/>
          </w:tcPr>
          <w:p>
            <w:pPr>
              <w:spacing w:after="0"/>
              <w:rPr>
                <w:sz w:val="22"/>
                <w:szCs w:val="22"/>
                <w:color w:val="auto"/>
              </w:rPr>
            </w:pPr>
          </w:p>
        </w:tc>
        <w:tc>
          <w:tcPr>
            <w:tcW w:w="1040" w:type="dxa"/>
            <w:vAlign w:val="bottom"/>
            <w:gridSpan w:val="2"/>
            <w:shd w:val="clear" w:color="auto" w:fill="47829E"/>
          </w:tcPr>
          <w:p>
            <w:pPr>
              <w:jc w:val="right"/>
              <w:ind w:right="80"/>
              <w:spacing w:after="0"/>
              <w:rPr>
                <w:sz w:val="20"/>
                <w:szCs w:val="20"/>
                <w:color w:val="auto"/>
              </w:rPr>
            </w:pPr>
            <w:r>
              <w:rPr>
                <w:rFonts w:ascii="Arial" w:cs="Arial" w:eastAsia="Arial" w:hAnsi="Arial"/>
                <w:sz w:val="18"/>
                <w:szCs w:val="18"/>
                <w:b w:val="1"/>
                <w:bCs w:val="1"/>
                <w:color w:val="FFFFFF"/>
              </w:rPr>
              <w:t>2013</w:t>
            </w:r>
          </w:p>
        </w:tc>
        <w:tc>
          <w:tcPr>
            <w:tcW w:w="100" w:type="dxa"/>
            <w:vAlign w:val="bottom"/>
            <w:shd w:val="clear" w:color="auto" w:fill="47829E"/>
          </w:tcPr>
          <w:p>
            <w:pPr>
              <w:spacing w:after="0"/>
              <w:rPr>
                <w:sz w:val="22"/>
                <w:szCs w:val="22"/>
                <w:color w:val="auto"/>
              </w:rPr>
            </w:pPr>
          </w:p>
        </w:tc>
        <w:tc>
          <w:tcPr>
            <w:tcW w:w="240" w:type="dxa"/>
            <w:vAlign w:val="bottom"/>
            <w:tcBorders>
              <w:right w:val="single" w:sz="8" w:color="47829E"/>
            </w:tcBorders>
            <w:shd w:val="clear" w:color="auto" w:fill="47829E"/>
          </w:tcPr>
          <w:p>
            <w:pPr>
              <w:spacing w:after="0"/>
              <w:rPr>
                <w:sz w:val="22"/>
                <w:szCs w:val="22"/>
                <w:color w:val="auto"/>
              </w:rPr>
            </w:pPr>
          </w:p>
        </w:tc>
      </w:tr>
      <w:tr>
        <w:trPr>
          <w:trHeight w:val="203"/>
        </w:trPr>
        <w:tc>
          <w:tcPr>
            <w:tcW w:w="7460" w:type="dxa"/>
            <w:vAlign w:val="bottom"/>
            <w:tcBorders>
              <w:left w:val="single" w:sz="8" w:color="47829E"/>
            </w:tcBorders>
            <w:gridSpan w:val="2"/>
          </w:tcPr>
          <w:p>
            <w:pPr>
              <w:ind w:left="120"/>
              <w:spacing w:after="0" w:line="202" w:lineRule="exact"/>
              <w:rPr>
                <w:sz w:val="20"/>
                <w:szCs w:val="20"/>
                <w:color w:val="auto"/>
              </w:rPr>
            </w:pPr>
            <w:r>
              <w:rPr>
                <w:rFonts w:ascii="Arial" w:cs="Arial" w:eastAsia="Arial" w:hAnsi="Arial"/>
                <w:sz w:val="18"/>
                <w:szCs w:val="18"/>
                <w:color w:val="auto"/>
              </w:rPr>
              <w:t>Net earnings attributable to Martin Marietta</w:t>
            </w:r>
          </w:p>
        </w:tc>
        <w:tc>
          <w:tcPr>
            <w:tcW w:w="300" w:type="dxa"/>
            <w:vAlign w:val="bottom"/>
          </w:tcPr>
          <w:p>
            <w:pPr>
              <w:spacing w:after="0"/>
              <w:rPr>
                <w:sz w:val="17"/>
                <w:szCs w:val="17"/>
                <w:color w:val="auto"/>
              </w:rPr>
            </w:pPr>
          </w:p>
        </w:tc>
        <w:tc>
          <w:tcPr>
            <w:tcW w:w="300" w:type="dxa"/>
            <w:vAlign w:val="bottom"/>
            <w:tcBorders>
              <w:right w:val="single" w:sz="8" w:color="47829E"/>
            </w:tcBorders>
          </w:tcPr>
          <w:p>
            <w:pPr>
              <w:spacing w:after="0"/>
              <w:rPr>
                <w:sz w:val="17"/>
                <w:szCs w:val="17"/>
                <w:color w:val="auto"/>
              </w:rPr>
            </w:pPr>
          </w:p>
        </w:tc>
        <w:tc>
          <w:tcPr>
            <w:tcW w:w="1640" w:type="dxa"/>
            <w:vAlign w:val="bottom"/>
            <w:tcBorders>
              <w:right w:val="single" w:sz="8" w:color="47829E"/>
            </w:tcBorders>
            <w:gridSpan w:val="5"/>
          </w:tcPr>
          <w:p>
            <w:pPr>
              <w:jc w:val="right"/>
              <w:ind w:right="140"/>
              <w:spacing w:after="0" w:line="202" w:lineRule="exact"/>
              <w:rPr>
                <w:sz w:val="20"/>
                <w:szCs w:val="20"/>
                <w:color w:val="auto"/>
              </w:rPr>
            </w:pPr>
            <w:r>
              <w:rPr>
                <w:rFonts w:ascii="Arial" w:cs="Arial" w:eastAsia="Arial" w:hAnsi="Arial"/>
                <w:sz w:val="18"/>
                <w:szCs w:val="18"/>
                <w:color w:val="auto"/>
              </w:rPr>
              <w:t>$155,601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$121,337</w:t>
            </w:r>
          </w:p>
        </w:tc>
        <w:tc>
          <w:tcPr>
            <w:tcW w:w="240" w:type="dxa"/>
            <w:vAlign w:val="bottom"/>
            <w:tcBorders>
              <w:right w:val="single" w:sz="8" w:color="47829E"/>
            </w:tcBorders>
          </w:tcPr>
          <w:p>
            <w:pPr>
              <w:spacing w:after="0"/>
              <w:rPr>
                <w:sz w:val="17"/>
                <w:szCs w:val="17"/>
                <w:color w:val="auto"/>
              </w:rPr>
            </w:pPr>
          </w:p>
        </w:tc>
      </w:tr>
      <w:tr>
        <w:trPr>
          <w:trHeight w:val="203"/>
        </w:trPr>
        <w:tc>
          <w:tcPr>
            <w:tcW w:w="7460" w:type="dxa"/>
            <w:vAlign w:val="bottom"/>
            <w:tcBorders>
              <w:left w:val="single" w:sz="8" w:color="47829E"/>
            </w:tcBorders>
            <w:gridSpan w:val="2"/>
            <w:shd w:val="clear" w:color="auto" w:fill="E3ECF0"/>
          </w:tcPr>
          <w:p>
            <w:pPr>
              <w:ind w:left="120"/>
              <w:spacing w:after="0" w:line="202" w:lineRule="exact"/>
              <w:rPr>
                <w:sz w:val="20"/>
                <w:szCs w:val="20"/>
                <w:color w:val="auto"/>
              </w:rPr>
            </w:pPr>
            <w:r>
              <w:rPr>
                <w:rFonts w:ascii="Arial" w:cs="Arial" w:eastAsia="Arial" w:hAnsi="Arial"/>
                <w:sz w:val="18"/>
                <w:szCs w:val="18"/>
                <w:color w:val="auto"/>
              </w:rPr>
              <w:t>Add back:</w:t>
            </w:r>
          </w:p>
        </w:tc>
        <w:tc>
          <w:tcPr>
            <w:tcW w:w="300" w:type="dxa"/>
            <w:vAlign w:val="bottom"/>
            <w:shd w:val="clear" w:color="auto" w:fill="E3ECF0"/>
          </w:tcPr>
          <w:p>
            <w:pPr>
              <w:spacing w:after="0"/>
              <w:rPr>
                <w:sz w:val="17"/>
                <w:szCs w:val="17"/>
                <w:color w:val="auto"/>
              </w:rPr>
            </w:pPr>
          </w:p>
        </w:tc>
        <w:tc>
          <w:tcPr>
            <w:tcW w:w="300" w:type="dxa"/>
            <w:vAlign w:val="bottom"/>
            <w:tcBorders>
              <w:right w:val="single" w:sz="8" w:color="47829E"/>
            </w:tcBorders>
            <w:shd w:val="clear" w:color="auto" w:fill="E3ECF0"/>
          </w:tcPr>
          <w:p>
            <w:pPr>
              <w:spacing w:after="0"/>
              <w:rPr>
                <w:sz w:val="17"/>
                <w:szCs w:val="17"/>
                <w:color w:val="auto"/>
              </w:rPr>
            </w:pPr>
          </w:p>
        </w:tc>
        <w:tc>
          <w:tcPr>
            <w:tcW w:w="1640" w:type="dxa"/>
            <w:vAlign w:val="bottom"/>
            <w:tcBorders>
              <w:right w:val="single" w:sz="8" w:color="47829E"/>
            </w:tcBorders>
            <w:gridSpan w:val="5"/>
            <w:shd w:val="clear" w:color="auto" w:fill="E3ECF0"/>
          </w:tcPr>
          <w:p>
            <w:pPr>
              <w:jc w:val="right"/>
              <w:ind w:right="140"/>
              <w:spacing w:after="0" w:line="202" w:lineRule="exact"/>
              <w:rPr>
                <w:sz w:val="20"/>
                <w:szCs w:val="20"/>
                <w:color w:val="auto"/>
              </w:rPr>
            </w:pPr>
            <w:r>
              <w:rPr>
                <w:rFonts w:ascii="Arial" w:cs="Arial" w:eastAsia="Arial" w:hAnsi="Arial"/>
                <w:sz w:val="18"/>
                <w:szCs w:val="18"/>
                <w:color w:val="auto"/>
              </w:rPr>
              <w:t>66,067</w:t>
            </w:r>
          </w:p>
        </w:tc>
        <w:tc>
          <w:tcPr>
            <w:tcW w:w="20" w:type="dxa"/>
            <w:vAlign w:val="bottom"/>
            <w:shd w:val="clear" w:color="auto" w:fill="E3ECF0"/>
          </w:tcPr>
          <w:p>
            <w:pPr>
              <w:spacing w:after="0"/>
              <w:rPr>
                <w:sz w:val="17"/>
                <w:szCs w:val="17"/>
                <w:color w:val="auto"/>
              </w:rPr>
            </w:pPr>
          </w:p>
        </w:tc>
        <w:tc>
          <w:tcPr>
            <w:tcW w:w="340" w:type="dxa"/>
            <w:vAlign w:val="bottom"/>
            <w:shd w:val="clear" w:color="auto" w:fill="E3ECF0"/>
          </w:tcPr>
          <w:p>
            <w:pPr>
              <w:spacing w:after="0"/>
              <w:rPr>
                <w:sz w:val="17"/>
                <w:szCs w:val="17"/>
                <w:color w:val="auto"/>
              </w:rPr>
            </w:pPr>
          </w:p>
        </w:tc>
        <w:tc>
          <w:tcPr>
            <w:tcW w:w="1380" w:type="dxa"/>
            <w:vAlign w:val="bottom"/>
            <w:tcBorders>
              <w:right w:val="single" w:sz="8" w:color="47829E"/>
            </w:tcBorders>
            <w:gridSpan w:val="4"/>
            <w:shd w:val="clear" w:color="auto" w:fill="E3ECF0"/>
          </w:tcPr>
          <w:p>
            <w:pPr>
              <w:jc w:val="right"/>
              <w:ind w:right="240"/>
              <w:spacing w:after="0" w:line="202" w:lineRule="exact"/>
              <w:rPr>
                <w:sz w:val="20"/>
                <w:szCs w:val="20"/>
                <w:color w:val="auto"/>
              </w:rPr>
            </w:pPr>
            <w:r>
              <w:rPr>
                <w:rFonts w:ascii="Arial" w:cs="Arial" w:eastAsia="Arial" w:hAnsi="Arial"/>
                <w:sz w:val="18"/>
                <w:szCs w:val="18"/>
                <w:color w:val="auto"/>
              </w:rPr>
              <w:t>53,467</w:t>
            </w:r>
          </w:p>
        </w:tc>
      </w:tr>
      <w:tr>
        <w:trPr>
          <w:trHeight w:val="203"/>
        </w:trPr>
        <w:tc>
          <w:tcPr>
            <w:tcW w:w="7460" w:type="dxa"/>
            <w:vAlign w:val="bottom"/>
            <w:tcBorders>
              <w:left w:val="single" w:sz="8" w:color="47829E"/>
            </w:tcBorders>
            <w:gridSpan w:val="2"/>
          </w:tcPr>
          <w:p>
            <w:pPr>
              <w:ind w:left="400"/>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7"/>
                <w:szCs w:val="17"/>
                <w:color w:val="auto"/>
              </w:rPr>
            </w:pPr>
          </w:p>
        </w:tc>
        <w:tc>
          <w:tcPr>
            <w:tcW w:w="300" w:type="dxa"/>
            <w:vAlign w:val="bottom"/>
            <w:tcBorders>
              <w:right w:val="single" w:sz="8" w:color="47829E"/>
            </w:tcBorders>
          </w:tcPr>
          <w:p>
            <w:pPr>
              <w:spacing w:after="0"/>
              <w:rPr>
                <w:sz w:val="17"/>
                <w:szCs w:val="17"/>
                <w:color w:val="auto"/>
              </w:rPr>
            </w:pPr>
          </w:p>
        </w:tc>
        <w:tc>
          <w:tcPr>
            <w:tcW w:w="1640" w:type="dxa"/>
            <w:vAlign w:val="bottom"/>
            <w:tcBorders>
              <w:right w:val="single" w:sz="8" w:color="47829E"/>
            </w:tcBorders>
            <w:gridSpan w:val="5"/>
          </w:tcPr>
          <w:p>
            <w:pPr>
              <w:jc w:val="right"/>
              <w:ind w:right="140"/>
              <w:spacing w:after="0" w:line="202" w:lineRule="exact"/>
              <w:rPr>
                <w:sz w:val="20"/>
                <w:szCs w:val="20"/>
                <w:color w:val="auto"/>
              </w:rPr>
            </w:pPr>
            <w:r>
              <w:rPr>
                <w:rFonts w:ascii="Arial" w:cs="Arial" w:eastAsia="Arial" w:hAnsi="Arial"/>
                <w:sz w:val="18"/>
                <w:szCs w:val="18"/>
                <w:color w:val="auto"/>
              </w:rPr>
              <w:t>94,729</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Borders>
              <w:right w:val="single" w:sz="8" w:color="47829E"/>
            </w:tcBorders>
            <w:gridSpan w:val="4"/>
          </w:tcPr>
          <w:p>
            <w:pPr>
              <w:jc w:val="right"/>
              <w:ind w:right="240"/>
              <w:spacing w:after="0" w:line="202" w:lineRule="exact"/>
              <w:rPr>
                <w:sz w:val="20"/>
                <w:szCs w:val="20"/>
                <w:color w:val="auto"/>
              </w:rPr>
            </w:pPr>
            <w:r>
              <w:rPr>
                <w:rFonts w:ascii="Arial" w:cs="Arial" w:eastAsia="Arial" w:hAnsi="Arial"/>
                <w:sz w:val="18"/>
                <w:szCs w:val="18"/>
                <w:color w:val="auto"/>
              </w:rPr>
              <w:t>43,496</w:t>
            </w:r>
          </w:p>
        </w:tc>
      </w:tr>
      <w:tr>
        <w:trPr>
          <w:trHeight w:val="203"/>
        </w:trPr>
        <w:tc>
          <w:tcPr>
            <w:tcW w:w="7460" w:type="dxa"/>
            <w:vAlign w:val="bottom"/>
            <w:tcBorders>
              <w:left w:val="single" w:sz="8" w:color="47829E"/>
            </w:tcBorders>
            <w:gridSpan w:val="2"/>
            <w:shd w:val="clear" w:color="auto" w:fill="E3ECF0"/>
          </w:tcPr>
          <w:p>
            <w:pPr>
              <w:ind w:left="400"/>
              <w:spacing w:after="0" w:line="202" w:lineRule="exact"/>
              <w:rPr>
                <w:sz w:val="20"/>
                <w:szCs w:val="20"/>
                <w:color w:val="auto"/>
              </w:rPr>
            </w:pPr>
            <w:r>
              <w:rPr>
                <w:rFonts w:ascii="Arial" w:cs="Arial" w:eastAsia="Arial" w:hAnsi="Arial"/>
                <w:sz w:val="18"/>
                <w:szCs w:val="18"/>
                <w:color w:val="auto"/>
              </w:rPr>
              <w:t>Income tax expense for controlling interests</w:t>
            </w:r>
          </w:p>
        </w:tc>
        <w:tc>
          <w:tcPr>
            <w:tcW w:w="300" w:type="dxa"/>
            <w:vAlign w:val="bottom"/>
            <w:shd w:val="clear" w:color="auto" w:fill="E3ECF0"/>
          </w:tcPr>
          <w:p>
            <w:pPr>
              <w:spacing w:after="0"/>
              <w:rPr>
                <w:sz w:val="17"/>
                <w:szCs w:val="17"/>
                <w:color w:val="auto"/>
              </w:rPr>
            </w:pPr>
          </w:p>
        </w:tc>
        <w:tc>
          <w:tcPr>
            <w:tcW w:w="300" w:type="dxa"/>
            <w:vAlign w:val="bottom"/>
            <w:tcBorders>
              <w:right w:val="single" w:sz="8" w:color="47829E"/>
            </w:tcBorders>
            <w:shd w:val="clear" w:color="auto" w:fill="E3ECF0"/>
          </w:tcPr>
          <w:p>
            <w:pPr>
              <w:spacing w:after="0"/>
              <w:rPr>
                <w:sz w:val="17"/>
                <w:szCs w:val="17"/>
                <w:color w:val="auto"/>
              </w:rPr>
            </w:pPr>
          </w:p>
        </w:tc>
        <w:tc>
          <w:tcPr>
            <w:tcW w:w="780" w:type="dxa"/>
            <w:vAlign w:val="bottom"/>
            <w:tcBorders>
              <w:right w:val="single" w:sz="8" w:color="E3ECF0"/>
            </w:tcBorders>
            <w:shd w:val="clear" w:color="auto" w:fill="E3ECF0"/>
          </w:tcPr>
          <w:p>
            <w:pPr>
              <w:spacing w:after="0"/>
              <w:rPr>
                <w:sz w:val="17"/>
                <w:szCs w:val="17"/>
                <w:color w:val="auto"/>
              </w:rPr>
            </w:pPr>
          </w:p>
        </w:tc>
        <w:tc>
          <w:tcPr>
            <w:tcW w:w="860" w:type="dxa"/>
            <w:vAlign w:val="bottom"/>
            <w:tcBorders>
              <w:right w:val="single" w:sz="8" w:color="47829E"/>
            </w:tcBorders>
            <w:gridSpan w:val="4"/>
            <w:shd w:val="clear" w:color="auto" w:fill="E3ECF0"/>
          </w:tcPr>
          <w:p>
            <w:pPr>
              <w:jc w:val="right"/>
              <w:ind w:right="140"/>
              <w:spacing w:after="0" w:line="202" w:lineRule="exact"/>
              <w:rPr>
                <w:sz w:val="20"/>
                <w:szCs w:val="20"/>
                <w:color w:val="auto"/>
              </w:rPr>
            </w:pPr>
            <w:r>
              <w:rPr>
                <w:rFonts w:ascii="Arial" w:cs="Arial" w:eastAsia="Arial" w:hAnsi="Arial"/>
                <w:sz w:val="18"/>
                <w:szCs w:val="18"/>
                <w:color w:val="auto"/>
              </w:rPr>
              <w:t>220,553</w:t>
            </w:r>
          </w:p>
        </w:tc>
        <w:tc>
          <w:tcPr>
            <w:tcW w:w="20" w:type="dxa"/>
            <w:vAlign w:val="bottom"/>
            <w:shd w:val="clear" w:color="auto" w:fill="E3ECF0"/>
          </w:tcPr>
          <w:p>
            <w:pPr>
              <w:spacing w:after="0"/>
              <w:rPr>
                <w:sz w:val="17"/>
                <w:szCs w:val="17"/>
                <w:color w:val="auto"/>
              </w:rPr>
            </w:pPr>
          </w:p>
        </w:tc>
        <w:tc>
          <w:tcPr>
            <w:tcW w:w="340" w:type="dxa"/>
            <w:vAlign w:val="bottom"/>
            <w:shd w:val="clear" w:color="auto" w:fill="E3ECF0"/>
          </w:tcPr>
          <w:p>
            <w:pPr>
              <w:spacing w:after="0"/>
              <w:rPr>
                <w:sz w:val="17"/>
                <w:szCs w:val="17"/>
                <w:color w:val="auto"/>
              </w:rPr>
            </w:pPr>
          </w:p>
        </w:tc>
        <w:tc>
          <w:tcPr>
            <w:tcW w:w="1140" w:type="dxa"/>
            <w:vAlign w:val="bottom"/>
            <w:gridSpan w:val="3"/>
            <w:shd w:val="clear" w:color="auto" w:fill="E3ECF0"/>
          </w:tcPr>
          <w:p>
            <w:pPr>
              <w:jc w:val="right"/>
              <w:spacing w:after="0" w:line="202" w:lineRule="exact"/>
              <w:rPr>
                <w:sz w:val="20"/>
                <w:szCs w:val="20"/>
                <w:color w:val="auto"/>
              </w:rPr>
            </w:pPr>
            <w:r>
              <w:rPr>
                <w:rFonts w:ascii="Arial" w:cs="Arial" w:eastAsia="Arial" w:hAnsi="Arial"/>
                <w:sz w:val="18"/>
                <w:szCs w:val="18"/>
                <w:color w:val="auto"/>
              </w:rPr>
              <w:t>171,919</w:t>
            </w:r>
          </w:p>
        </w:tc>
        <w:tc>
          <w:tcPr>
            <w:tcW w:w="240" w:type="dxa"/>
            <w:vAlign w:val="bottom"/>
            <w:tcBorders>
              <w:right w:val="single" w:sz="8" w:color="47829E"/>
            </w:tcBorders>
            <w:shd w:val="clear" w:color="auto" w:fill="E3ECF0"/>
          </w:tcPr>
          <w:p>
            <w:pPr>
              <w:spacing w:after="0"/>
              <w:rPr>
                <w:sz w:val="17"/>
                <w:szCs w:val="17"/>
                <w:color w:val="auto"/>
              </w:rPr>
            </w:pPr>
          </w:p>
        </w:tc>
      </w:tr>
      <w:tr>
        <w:trPr>
          <w:trHeight w:val="20"/>
        </w:trPr>
        <w:tc>
          <w:tcPr>
            <w:tcW w:w="7460" w:type="dxa"/>
            <w:vAlign w:val="bottom"/>
            <w:tcBorders>
              <w:left w:val="single" w:sz="8" w:color="47829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right w:val="single" w:sz="8" w:color="47829E"/>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Borders>
              <w:right w:val="single" w:sz="8" w:color="47829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r>
      <w:tr>
        <w:trPr>
          <w:trHeight w:val="210"/>
        </w:trPr>
        <w:tc>
          <w:tcPr>
            <w:tcW w:w="7460" w:type="dxa"/>
            <w:vAlign w:val="bottom"/>
            <w:tcBorders>
              <w:left w:val="single" w:sz="8" w:color="47829E"/>
            </w:tcBorders>
            <w:gridSpan w:val="2"/>
          </w:tcPr>
          <w:p>
            <w:pPr>
              <w:ind w:left="400"/>
              <w:spacing w:after="0"/>
              <w:rPr>
                <w:sz w:val="20"/>
                <w:szCs w:val="20"/>
                <w:color w:val="auto"/>
              </w:rPr>
            </w:pPr>
            <w:r>
              <w:rPr>
                <w:rFonts w:ascii="Arial" w:cs="Arial" w:eastAsia="Arial" w:hAnsi="Arial"/>
                <w:sz w:val="18"/>
                <w:szCs w:val="18"/>
                <w:color w:val="auto"/>
              </w:rPr>
              <w:t>Depreciation, depletion and amortization expense</w:t>
            </w:r>
          </w:p>
        </w:tc>
        <w:tc>
          <w:tcPr>
            <w:tcW w:w="300" w:type="dxa"/>
            <w:vAlign w:val="bottom"/>
          </w:tcPr>
          <w:p>
            <w:pPr>
              <w:spacing w:after="0"/>
              <w:rPr>
                <w:sz w:val="18"/>
                <w:szCs w:val="18"/>
                <w:color w:val="auto"/>
              </w:rPr>
            </w:pPr>
          </w:p>
        </w:tc>
        <w:tc>
          <w:tcPr>
            <w:tcW w:w="300" w:type="dxa"/>
            <w:vAlign w:val="bottom"/>
            <w:tcBorders>
              <w:right w:val="single" w:sz="8" w:color="47829E"/>
            </w:tcBorders>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Borders>
              <w:right w:val="single" w:sz="8" w:color="47829E"/>
            </w:tcBorders>
            <w:gridSpan w:val="4"/>
          </w:tcPr>
          <w:p>
            <w:pPr>
              <w:jc w:val="right"/>
              <w:ind w:right="14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536,950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390,219</w:t>
            </w:r>
          </w:p>
        </w:tc>
        <w:tc>
          <w:tcPr>
            <w:tcW w:w="240" w:type="dxa"/>
            <w:vAlign w:val="bottom"/>
            <w:tcBorders>
              <w:right w:val="single" w:sz="8" w:color="47829E"/>
            </w:tcBorders>
          </w:tcPr>
          <w:p>
            <w:pPr>
              <w:spacing w:after="0"/>
              <w:rPr>
                <w:sz w:val="18"/>
                <w:szCs w:val="18"/>
                <w:color w:val="auto"/>
              </w:rPr>
            </w:pPr>
          </w:p>
        </w:tc>
      </w:tr>
      <w:tr>
        <w:trPr>
          <w:trHeight w:val="20"/>
        </w:trPr>
        <w:tc>
          <w:tcPr>
            <w:tcW w:w="6820" w:type="dxa"/>
            <w:vAlign w:val="bottom"/>
            <w:tcBorders>
              <w:left w:val="single" w:sz="8" w:color="47829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right w:val="single" w:sz="8" w:color="47829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47829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r>
      <w:tr>
        <w:trPr>
          <w:trHeight w:val="197"/>
        </w:trPr>
        <w:tc>
          <w:tcPr>
            <w:tcW w:w="7460" w:type="dxa"/>
            <w:vAlign w:val="bottom"/>
            <w:tcBorders>
              <w:left w:val="single" w:sz="8" w:color="47829E"/>
              <w:bottom w:val="single" w:sz="8" w:color="47829E"/>
            </w:tcBorders>
            <w:gridSpan w:val="2"/>
            <w:shd w:val="clear" w:color="auto" w:fill="E3ECF0"/>
          </w:tcPr>
          <w:p>
            <w:pPr>
              <w:ind w:left="120"/>
              <w:spacing w:after="0" w:line="196" w:lineRule="exact"/>
              <w:rPr>
                <w:sz w:val="20"/>
                <w:szCs w:val="20"/>
                <w:color w:val="auto"/>
              </w:rPr>
            </w:pPr>
            <w:r>
              <w:rPr>
                <w:rFonts w:ascii="Arial" w:cs="Arial" w:eastAsia="Arial" w:hAnsi="Arial"/>
                <w:sz w:val="18"/>
                <w:szCs w:val="18"/>
                <w:color w:val="auto"/>
              </w:rPr>
              <w:t>Consolidated EBITDA</w:t>
            </w:r>
          </w:p>
        </w:tc>
        <w:tc>
          <w:tcPr>
            <w:tcW w:w="300" w:type="dxa"/>
            <w:vAlign w:val="bottom"/>
            <w:tcBorders>
              <w:bottom w:val="single" w:sz="8" w:color="47829E"/>
            </w:tcBorders>
            <w:shd w:val="clear" w:color="auto" w:fill="E3ECF0"/>
          </w:tcPr>
          <w:p>
            <w:pPr>
              <w:spacing w:after="0"/>
              <w:rPr>
                <w:sz w:val="17"/>
                <w:szCs w:val="17"/>
                <w:color w:val="auto"/>
              </w:rPr>
            </w:pPr>
          </w:p>
        </w:tc>
        <w:tc>
          <w:tcPr>
            <w:tcW w:w="300" w:type="dxa"/>
            <w:vAlign w:val="bottom"/>
            <w:tcBorders>
              <w:bottom w:val="single" w:sz="8" w:color="47829E"/>
              <w:right w:val="single" w:sz="8" w:color="47829E"/>
            </w:tcBorders>
            <w:shd w:val="clear" w:color="auto" w:fill="E3ECF0"/>
          </w:tcPr>
          <w:p>
            <w:pPr>
              <w:spacing w:after="0"/>
              <w:rPr>
                <w:sz w:val="17"/>
                <w:szCs w:val="17"/>
                <w:color w:val="auto"/>
              </w:rPr>
            </w:pPr>
          </w:p>
        </w:tc>
        <w:tc>
          <w:tcPr>
            <w:tcW w:w="780" w:type="dxa"/>
            <w:vAlign w:val="bottom"/>
            <w:tcBorders>
              <w:bottom w:val="single" w:sz="8" w:color="47829E"/>
              <w:right w:val="single" w:sz="8" w:color="E3ECF0"/>
            </w:tcBorders>
            <w:shd w:val="clear" w:color="auto" w:fill="E3ECF0"/>
          </w:tcPr>
          <w:p>
            <w:pPr>
              <w:spacing w:after="0"/>
              <w:rPr>
                <w:sz w:val="17"/>
                <w:szCs w:val="17"/>
                <w:color w:val="auto"/>
              </w:rPr>
            </w:pPr>
          </w:p>
        </w:tc>
        <w:tc>
          <w:tcPr>
            <w:tcW w:w="240" w:type="dxa"/>
            <w:vAlign w:val="bottom"/>
            <w:tcBorders>
              <w:bottom w:val="single" w:sz="8" w:color="47829E"/>
              <w:right w:val="single" w:sz="8" w:color="E3ECF0"/>
            </w:tcBorders>
            <w:shd w:val="clear" w:color="auto" w:fill="E3ECF0"/>
          </w:tcPr>
          <w:p>
            <w:pPr>
              <w:spacing w:after="0"/>
              <w:rPr>
                <w:sz w:val="17"/>
                <w:szCs w:val="17"/>
                <w:color w:val="auto"/>
              </w:rPr>
            </w:pPr>
          </w:p>
        </w:tc>
        <w:tc>
          <w:tcPr>
            <w:tcW w:w="200" w:type="dxa"/>
            <w:vAlign w:val="bottom"/>
            <w:tcBorders>
              <w:bottom w:val="single" w:sz="8" w:color="47829E"/>
              <w:right w:val="single" w:sz="8" w:color="E3ECF0"/>
            </w:tcBorders>
            <w:shd w:val="clear" w:color="auto" w:fill="E3ECF0"/>
          </w:tcPr>
          <w:p>
            <w:pPr>
              <w:spacing w:after="0"/>
              <w:rPr>
                <w:sz w:val="17"/>
                <w:szCs w:val="17"/>
                <w:color w:val="auto"/>
              </w:rPr>
            </w:pPr>
          </w:p>
        </w:tc>
        <w:tc>
          <w:tcPr>
            <w:tcW w:w="280" w:type="dxa"/>
            <w:vAlign w:val="bottom"/>
            <w:tcBorders>
              <w:bottom w:val="single" w:sz="8" w:color="47829E"/>
            </w:tcBorders>
            <w:shd w:val="clear" w:color="auto" w:fill="E3ECF0"/>
          </w:tcPr>
          <w:p>
            <w:pPr>
              <w:spacing w:after="0"/>
              <w:rPr>
                <w:sz w:val="17"/>
                <w:szCs w:val="17"/>
                <w:color w:val="auto"/>
              </w:rPr>
            </w:pPr>
          </w:p>
        </w:tc>
        <w:tc>
          <w:tcPr>
            <w:tcW w:w="140" w:type="dxa"/>
            <w:vAlign w:val="bottom"/>
            <w:tcBorders>
              <w:bottom w:val="single" w:sz="8" w:color="47829E"/>
              <w:right w:val="single" w:sz="8" w:color="47829E"/>
            </w:tcBorders>
            <w:shd w:val="clear" w:color="auto" w:fill="E3ECF0"/>
          </w:tcPr>
          <w:p>
            <w:pPr>
              <w:spacing w:after="0"/>
              <w:rPr>
                <w:sz w:val="17"/>
                <w:szCs w:val="17"/>
                <w:color w:val="auto"/>
              </w:rPr>
            </w:pPr>
          </w:p>
        </w:tc>
        <w:tc>
          <w:tcPr>
            <w:tcW w:w="20" w:type="dxa"/>
            <w:vAlign w:val="bottom"/>
            <w:tcBorders>
              <w:bottom w:val="single" w:sz="8" w:color="47829E"/>
            </w:tcBorders>
            <w:shd w:val="clear" w:color="auto" w:fill="E3ECF0"/>
          </w:tcPr>
          <w:p>
            <w:pPr>
              <w:spacing w:after="0"/>
              <w:rPr>
                <w:sz w:val="17"/>
                <w:szCs w:val="17"/>
                <w:color w:val="auto"/>
              </w:rPr>
            </w:pPr>
          </w:p>
        </w:tc>
        <w:tc>
          <w:tcPr>
            <w:tcW w:w="340" w:type="dxa"/>
            <w:vAlign w:val="bottom"/>
            <w:tcBorders>
              <w:bottom w:val="single" w:sz="8" w:color="47829E"/>
            </w:tcBorders>
            <w:shd w:val="clear" w:color="auto" w:fill="E3ECF0"/>
          </w:tcPr>
          <w:p>
            <w:pPr>
              <w:spacing w:after="0"/>
              <w:rPr>
                <w:sz w:val="17"/>
                <w:szCs w:val="17"/>
                <w:color w:val="auto"/>
              </w:rPr>
            </w:pPr>
          </w:p>
        </w:tc>
        <w:tc>
          <w:tcPr>
            <w:tcW w:w="460" w:type="dxa"/>
            <w:vAlign w:val="bottom"/>
            <w:tcBorders>
              <w:bottom w:val="single" w:sz="8" w:color="47829E"/>
              <w:right w:val="single" w:sz="8" w:color="E3ECF0"/>
            </w:tcBorders>
            <w:shd w:val="clear" w:color="auto" w:fill="E3ECF0"/>
          </w:tcPr>
          <w:p>
            <w:pPr>
              <w:spacing w:after="0"/>
              <w:rPr>
                <w:sz w:val="17"/>
                <w:szCs w:val="17"/>
                <w:color w:val="auto"/>
              </w:rPr>
            </w:pPr>
          </w:p>
        </w:tc>
        <w:tc>
          <w:tcPr>
            <w:tcW w:w="580" w:type="dxa"/>
            <w:vAlign w:val="bottom"/>
            <w:tcBorders>
              <w:bottom w:val="single" w:sz="8" w:color="47829E"/>
            </w:tcBorders>
            <w:shd w:val="clear" w:color="auto" w:fill="E3ECF0"/>
          </w:tcPr>
          <w:p>
            <w:pPr>
              <w:spacing w:after="0"/>
              <w:rPr>
                <w:sz w:val="17"/>
                <w:szCs w:val="17"/>
                <w:color w:val="auto"/>
              </w:rPr>
            </w:pPr>
          </w:p>
        </w:tc>
        <w:tc>
          <w:tcPr>
            <w:tcW w:w="100" w:type="dxa"/>
            <w:vAlign w:val="bottom"/>
            <w:tcBorders>
              <w:bottom w:val="single" w:sz="8" w:color="47829E"/>
            </w:tcBorders>
            <w:shd w:val="clear" w:color="auto" w:fill="E3ECF0"/>
          </w:tcPr>
          <w:p>
            <w:pPr>
              <w:spacing w:after="0"/>
              <w:rPr>
                <w:sz w:val="17"/>
                <w:szCs w:val="17"/>
                <w:color w:val="auto"/>
              </w:rPr>
            </w:pPr>
          </w:p>
        </w:tc>
        <w:tc>
          <w:tcPr>
            <w:tcW w:w="240" w:type="dxa"/>
            <w:vAlign w:val="bottom"/>
            <w:tcBorders>
              <w:bottom w:val="single" w:sz="8" w:color="47829E"/>
              <w:right w:val="single" w:sz="8" w:color="47829E"/>
            </w:tcBorders>
            <w:shd w:val="clear" w:color="auto" w:fill="E3ECF0"/>
          </w:tcPr>
          <w:p>
            <w:pPr>
              <w:spacing w:after="0"/>
              <w:rPr>
                <w:sz w:val="17"/>
                <w:szCs w:val="17"/>
                <w:color w:val="auto"/>
              </w:rPr>
            </w:pPr>
          </w:p>
        </w:tc>
      </w:tr>
      <w:tr>
        <w:trPr>
          <w:trHeight w:val="370"/>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Adjusted Earnings per Diluted Share for year ended December 31, 2014:</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1"/>
        </w:trPr>
        <w:tc>
          <w:tcPr>
            <w:tcW w:w="7460" w:type="dxa"/>
            <w:vAlign w:val="bottom"/>
            <w:tcBorders>
              <w:bottom w:val="single" w:sz="8" w:color="47829E"/>
            </w:tcBorders>
            <w:gridSpan w:val="2"/>
          </w:tcPr>
          <w:p>
            <w:pPr>
              <w:spacing w:after="0"/>
              <w:rPr>
                <w:sz w:val="16"/>
                <w:szCs w:val="16"/>
                <w:color w:val="auto"/>
              </w:rPr>
            </w:pPr>
          </w:p>
        </w:tc>
        <w:tc>
          <w:tcPr>
            <w:tcW w:w="300" w:type="dxa"/>
            <w:vAlign w:val="bottom"/>
            <w:tcBorders>
              <w:bottom w:val="single" w:sz="8" w:color="47829E"/>
            </w:tcBorders>
          </w:tcPr>
          <w:p>
            <w:pPr>
              <w:spacing w:after="0"/>
              <w:rPr>
                <w:sz w:val="16"/>
                <w:szCs w:val="16"/>
                <w:color w:val="auto"/>
              </w:rPr>
            </w:pPr>
          </w:p>
        </w:tc>
        <w:tc>
          <w:tcPr>
            <w:tcW w:w="300" w:type="dxa"/>
            <w:vAlign w:val="bottom"/>
            <w:tcBorders>
              <w:bottom w:val="single" w:sz="8" w:color="47829E"/>
            </w:tcBorders>
          </w:tcPr>
          <w:p>
            <w:pPr>
              <w:spacing w:after="0"/>
              <w:rPr>
                <w:sz w:val="16"/>
                <w:szCs w:val="16"/>
                <w:color w:val="auto"/>
              </w:rPr>
            </w:pPr>
          </w:p>
        </w:tc>
        <w:tc>
          <w:tcPr>
            <w:tcW w:w="780" w:type="dxa"/>
            <w:vAlign w:val="bottom"/>
            <w:tcBorders>
              <w:bottom w:val="single" w:sz="8" w:color="47829E"/>
            </w:tcBorders>
          </w:tcPr>
          <w:p>
            <w:pPr>
              <w:spacing w:after="0"/>
              <w:rPr>
                <w:sz w:val="16"/>
                <w:szCs w:val="16"/>
                <w:color w:val="auto"/>
              </w:rPr>
            </w:pPr>
          </w:p>
        </w:tc>
        <w:tc>
          <w:tcPr>
            <w:tcW w:w="240" w:type="dxa"/>
            <w:vAlign w:val="bottom"/>
            <w:tcBorders>
              <w:bottom w:val="single" w:sz="8" w:color="47829E"/>
            </w:tcBorders>
          </w:tcPr>
          <w:p>
            <w:pPr>
              <w:spacing w:after="0"/>
              <w:rPr>
                <w:sz w:val="16"/>
                <w:szCs w:val="16"/>
                <w:color w:val="auto"/>
              </w:rPr>
            </w:pPr>
          </w:p>
        </w:tc>
        <w:tc>
          <w:tcPr>
            <w:tcW w:w="200" w:type="dxa"/>
            <w:vAlign w:val="bottom"/>
            <w:tcBorders>
              <w:bottom w:val="single" w:sz="8" w:color="47829E"/>
            </w:tcBorders>
          </w:tcPr>
          <w:p>
            <w:pPr>
              <w:spacing w:after="0"/>
              <w:rPr>
                <w:sz w:val="16"/>
                <w:szCs w:val="16"/>
                <w:color w:val="auto"/>
              </w:rPr>
            </w:pPr>
          </w:p>
        </w:tc>
        <w:tc>
          <w:tcPr>
            <w:tcW w:w="280" w:type="dxa"/>
            <w:vAlign w:val="bottom"/>
            <w:tcBorders>
              <w:bottom w:val="single" w:sz="8" w:color="47829E"/>
            </w:tcBorders>
          </w:tcPr>
          <w:p>
            <w:pPr>
              <w:spacing w:after="0"/>
              <w:rPr>
                <w:sz w:val="16"/>
                <w:szCs w:val="16"/>
                <w:color w:val="auto"/>
              </w:rPr>
            </w:pPr>
          </w:p>
        </w:tc>
        <w:tc>
          <w:tcPr>
            <w:tcW w:w="140" w:type="dxa"/>
            <w:vAlign w:val="bottom"/>
            <w:tcBorders>
              <w:bottom w:val="single" w:sz="8" w:color="47829E"/>
            </w:tcBorders>
          </w:tcPr>
          <w:p>
            <w:pPr>
              <w:spacing w:after="0"/>
              <w:rPr>
                <w:sz w:val="16"/>
                <w:szCs w:val="16"/>
                <w:color w:val="auto"/>
              </w:rPr>
            </w:pPr>
          </w:p>
        </w:tc>
        <w:tc>
          <w:tcPr>
            <w:tcW w:w="20" w:type="dxa"/>
            <w:vAlign w:val="bottom"/>
            <w:tcBorders>
              <w:bottom w:val="single" w:sz="8" w:color="47829E"/>
            </w:tcBorders>
          </w:tcPr>
          <w:p>
            <w:pPr>
              <w:spacing w:after="0"/>
              <w:rPr>
                <w:sz w:val="16"/>
                <w:szCs w:val="16"/>
                <w:color w:val="auto"/>
              </w:rPr>
            </w:pPr>
          </w:p>
        </w:tc>
        <w:tc>
          <w:tcPr>
            <w:tcW w:w="340" w:type="dxa"/>
            <w:vAlign w:val="bottom"/>
            <w:tcBorders>
              <w:bottom w:val="single" w:sz="8" w:color="47829E"/>
            </w:tcBorders>
          </w:tcPr>
          <w:p>
            <w:pPr>
              <w:spacing w:after="0"/>
              <w:rPr>
                <w:sz w:val="16"/>
                <w:szCs w:val="16"/>
                <w:color w:val="auto"/>
              </w:rPr>
            </w:pPr>
          </w:p>
        </w:tc>
        <w:tc>
          <w:tcPr>
            <w:tcW w:w="1040" w:type="dxa"/>
            <w:vAlign w:val="bottom"/>
            <w:tcBorders>
              <w:bottom w:val="single" w:sz="8" w:color="47829E"/>
            </w:tcBorders>
            <w:gridSpan w:val="2"/>
          </w:tcPr>
          <w:p>
            <w:pPr>
              <w:spacing w:after="0"/>
              <w:rPr>
                <w:sz w:val="16"/>
                <w:szCs w:val="16"/>
                <w:color w:val="auto"/>
              </w:rPr>
            </w:pPr>
          </w:p>
        </w:tc>
        <w:tc>
          <w:tcPr>
            <w:tcW w:w="100" w:type="dxa"/>
            <w:vAlign w:val="bottom"/>
            <w:tcBorders>
              <w:bottom w:val="single" w:sz="8" w:color="47829E"/>
            </w:tcBorders>
          </w:tcPr>
          <w:p>
            <w:pPr>
              <w:spacing w:after="0"/>
              <w:rPr>
                <w:sz w:val="16"/>
                <w:szCs w:val="16"/>
                <w:color w:val="auto"/>
              </w:rPr>
            </w:pPr>
          </w:p>
        </w:tc>
        <w:tc>
          <w:tcPr>
            <w:tcW w:w="240" w:type="dxa"/>
            <w:vAlign w:val="bottom"/>
            <w:tcBorders>
              <w:bottom w:val="single" w:sz="8" w:color="47829E"/>
            </w:tcBorders>
          </w:tcPr>
          <w:p>
            <w:pPr>
              <w:spacing w:after="0"/>
              <w:rPr>
                <w:sz w:val="16"/>
                <w:szCs w:val="16"/>
                <w:color w:val="auto"/>
              </w:rPr>
            </w:pPr>
          </w:p>
        </w:tc>
      </w:tr>
      <w:tr>
        <w:trPr>
          <w:trHeight w:val="196"/>
        </w:trPr>
        <w:tc>
          <w:tcPr>
            <w:tcW w:w="7460" w:type="dxa"/>
            <w:vAlign w:val="bottom"/>
            <w:tcBorders>
              <w:left w:val="single" w:sz="8" w:color="47829E"/>
            </w:tcBorders>
            <w:gridSpan w:val="2"/>
          </w:tcPr>
          <w:p>
            <w:pPr>
              <w:ind w:left="120"/>
              <w:spacing w:after="0" w:line="196" w:lineRule="exact"/>
              <w:rPr>
                <w:sz w:val="20"/>
                <w:szCs w:val="20"/>
                <w:color w:val="auto"/>
              </w:rPr>
            </w:pPr>
            <w:r>
              <w:rPr>
                <w:rFonts w:ascii="Arial" w:cs="Arial" w:eastAsia="Arial" w:hAnsi="Arial"/>
                <w:sz w:val="18"/>
                <w:szCs w:val="18"/>
                <w:color w:val="auto"/>
              </w:rPr>
              <w:t>Earnings per diluted share in accordance with GAAP</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right w:val="single" w:sz="8" w:color="47829E"/>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gridSpan w:val="2"/>
          </w:tcPr>
          <w:p>
            <w:pPr>
              <w:jc w:val="right"/>
              <w:ind w:right="580"/>
              <w:spacing w:after="0" w:line="196" w:lineRule="exact"/>
              <w:rPr>
                <w:sz w:val="20"/>
                <w:szCs w:val="20"/>
                <w:color w:val="auto"/>
              </w:rPr>
            </w:pPr>
            <w:r>
              <w:rPr>
                <w:rFonts w:ascii="Arial" w:cs="Arial" w:eastAsia="Arial" w:hAnsi="Arial"/>
                <w:sz w:val="18"/>
                <w:szCs w:val="18"/>
                <w:color w:val="auto"/>
                <w:w w:val="87"/>
              </w:rPr>
              <w:t>$ 2.71</w:t>
            </w:r>
          </w:p>
        </w:tc>
        <w:tc>
          <w:tcPr>
            <w:tcW w:w="100" w:type="dxa"/>
            <w:vAlign w:val="bottom"/>
          </w:tcPr>
          <w:p>
            <w:pPr>
              <w:spacing w:after="0"/>
              <w:rPr>
                <w:sz w:val="17"/>
                <w:szCs w:val="17"/>
                <w:color w:val="auto"/>
              </w:rPr>
            </w:pPr>
          </w:p>
        </w:tc>
        <w:tc>
          <w:tcPr>
            <w:tcW w:w="240" w:type="dxa"/>
            <w:vAlign w:val="bottom"/>
            <w:tcBorders>
              <w:right w:val="single" w:sz="8" w:color="47829E"/>
            </w:tcBorders>
          </w:tcPr>
          <w:p>
            <w:pPr>
              <w:spacing w:after="0"/>
              <w:rPr>
                <w:sz w:val="17"/>
                <w:szCs w:val="17"/>
                <w:color w:val="auto"/>
              </w:rPr>
            </w:pPr>
          </w:p>
        </w:tc>
      </w:tr>
      <w:tr>
        <w:trPr>
          <w:trHeight w:val="203"/>
        </w:trPr>
        <w:tc>
          <w:tcPr>
            <w:tcW w:w="7460" w:type="dxa"/>
            <w:vAlign w:val="bottom"/>
            <w:tcBorders>
              <w:left w:val="single" w:sz="8" w:color="47829E"/>
            </w:tcBorders>
            <w:gridSpan w:val="2"/>
            <w:shd w:val="clear" w:color="auto" w:fill="E3ECF0"/>
          </w:tcPr>
          <w:p>
            <w:pPr>
              <w:ind w:left="120"/>
              <w:spacing w:after="0" w:line="202" w:lineRule="exact"/>
              <w:rPr>
                <w:sz w:val="20"/>
                <w:szCs w:val="20"/>
                <w:color w:val="auto"/>
              </w:rPr>
            </w:pPr>
            <w:r>
              <w:rPr>
                <w:rFonts w:ascii="Arial" w:cs="Arial" w:eastAsia="Arial" w:hAnsi="Arial"/>
                <w:sz w:val="18"/>
                <w:szCs w:val="18"/>
                <w:color w:val="auto"/>
              </w:rPr>
              <w:t>Add back:</w:t>
            </w:r>
          </w:p>
        </w:tc>
        <w:tc>
          <w:tcPr>
            <w:tcW w:w="300" w:type="dxa"/>
            <w:vAlign w:val="bottom"/>
            <w:shd w:val="clear" w:color="auto" w:fill="E3ECF0"/>
          </w:tcPr>
          <w:p>
            <w:pPr>
              <w:spacing w:after="0"/>
              <w:rPr>
                <w:sz w:val="17"/>
                <w:szCs w:val="17"/>
                <w:color w:val="auto"/>
              </w:rPr>
            </w:pPr>
          </w:p>
        </w:tc>
        <w:tc>
          <w:tcPr>
            <w:tcW w:w="300" w:type="dxa"/>
            <w:vAlign w:val="bottom"/>
            <w:tcBorders>
              <w:right w:val="single" w:sz="8" w:color="E3ECF0"/>
            </w:tcBorders>
            <w:shd w:val="clear" w:color="auto" w:fill="E3ECF0"/>
          </w:tcPr>
          <w:p>
            <w:pPr>
              <w:spacing w:after="0"/>
              <w:rPr>
                <w:sz w:val="17"/>
                <w:szCs w:val="17"/>
                <w:color w:val="auto"/>
              </w:rPr>
            </w:pPr>
          </w:p>
        </w:tc>
        <w:tc>
          <w:tcPr>
            <w:tcW w:w="780" w:type="dxa"/>
            <w:vAlign w:val="bottom"/>
            <w:tcBorders>
              <w:right w:val="single" w:sz="8" w:color="E3ECF0"/>
            </w:tcBorders>
            <w:shd w:val="clear" w:color="auto" w:fill="E3ECF0"/>
          </w:tcPr>
          <w:p>
            <w:pPr>
              <w:spacing w:after="0"/>
              <w:rPr>
                <w:sz w:val="17"/>
                <w:szCs w:val="17"/>
                <w:color w:val="auto"/>
              </w:rPr>
            </w:pPr>
          </w:p>
        </w:tc>
        <w:tc>
          <w:tcPr>
            <w:tcW w:w="240" w:type="dxa"/>
            <w:vAlign w:val="bottom"/>
            <w:tcBorders>
              <w:right w:val="single" w:sz="8" w:color="E3ECF0"/>
            </w:tcBorders>
            <w:shd w:val="clear" w:color="auto" w:fill="E3ECF0"/>
          </w:tcPr>
          <w:p>
            <w:pPr>
              <w:spacing w:after="0"/>
              <w:rPr>
                <w:sz w:val="17"/>
                <w:szCs w:val="17"/>
                <w:color w:val="auto"/>
              </w:rPr>
            </w:pPr>
          </w:p>
        </w:tc>
        <w:tc>
          <w:tcPr>
            <w:tcW w:w="200" w:type="dxa"/>
            <w:vAlign w:val="bottom"/>
            <w:tcBorders>
              <w:right w:val="single" w:sz="8" w:color="47829E"/>
            </w:tcBorders>
            <w:shd w:val="clear" w:color="auto" w:fill="E3ECF0"/>
          </w:tcPr>
          <w:p>
            <w:pPr>
              <w:spacing w:after="0"/>
              <w:rPr>
                <w:sz w:val="17"/>
                <w:szCs w:val="17"/>
                <w:color w:val="auto"/>
              </w:rPr>
            </w:pPr>
          </w:p>
        </w:tc>
        <w:tc>
          <w:tcPr>
            <w:tcW w:w="280" w:type="dxa"/>
            <w:vAlign w:val="bottom"/>
            <w:shd w:val="clear" w:color="auto" w:fill="E3ECF0"/>
          </w:tcPr>
          <w:p>
            <w:pPr>
              <w:spacing w:after="0"/>
              <w:rPr>
                <w:sz w:val="17"/>
                <w:szCs w:val="17"/>
                <w:color w:val="auto"/>
              </w:rPr>
            </w:pPr>
          </w:p>
        </w:tc>
        <w:tc>
          <w:tcPr>
            <w:tcW w:w="140" w:type="dxa"/>
            <w:vAlign w:val="bottom"/>
            <w:tcBorders>
              <w:right w:val="single" w:sz="8" w:color="E3ECF0"/>
            </w:tcBorders>
            <w:shd w:val="clear" w:color="auto" w:fill="E3ECF0"/>
          </w:tcPr>
          <w:p>
            <w:pPr>
              <w:spacing w:after="0"/>
              <w:rPr>
                <w:sz w:val="17"/>
                <w:szCs w:val="17"/>
                <w:color w:val="auto"/>
              </w:rPr>
            </w:pPr>
          </w:p>
        </w:tc>
        <w:tc>
          <w:tcPr>
            <w:tcW w:w="20" w:type="dxa"/>
            <w:vAlign w:val="bottom"/>
            <w:shd w:val="clear" w:color="auto" w:fill="E3ECF0"/>
          </w:tcPr>
          <w:p>
            <w:pPr>
              <w:spacing w:after="0"/>
              <w:rPr>
                <w:sz w:val="17"/>
                <w:szCs w:val="17"/>
                <w:color w:val="auto"/>
              </w:rPr>
            </w:pPr>
          </w:p>
        </w:tc>
        <w:tc>
          <w:tcPr>
            <w:tcW w:w="340" w:type="dxa"/>
            <w:vAlign w:val="bottom"/>
            <w:shd w:val="clear" w:color="auto" w:fill="E3ECF0"/>
          </w:tcPr>
          <w:p>
            <w:pPr>
              <w:spacing w:after="0"/>
              <w:rPr>
                <w:sz w:val="17"/>
                <w:szCs w:val="17"/>
                <w:color w:val="auto"/>
              </w:rPr>
            </w:pPr>
          </w:p>
        </w:tc>
        <w:tc>
          <w:tcPr>
            <w:tcW w:w="460" w:type="dxa"/>
            <w:vAlign w:val="bottom"/>
            <w:tcBorders>
              <w:right w:val="single" w:sz="8" w:color="E3ECF0"/>
            </w:tcBorders>
            <w:shd w:val="clear" w:color="auto" w:fill="E3ECF0"/>
          </w:tcPr>
          <w:p>
            <w:pPr>
              <w:spacing w:after="0"/>
              <w:rPr>
                <w:sz w:val="17"/>
                <w:szCs w:val="17"/>
                <w:color w:val="auto"/>
              </w:rPr>
            </w:pPr>
          </w:p>
        </w:tc>
        <w:tc>
          <w:tcPr>
            <w:tcW w:w="580" w:type="dxa"/>
            <w:vAlign w:val="bottom"/>
            <w:shd w:val="clear" w:color="auto" w:fill="E3ECF0"/>
          </w:tcPr>
          <w:p>
            <w:pPr>
              <w:spacing w:after="0"/>
              <w:rPr>
                <w:sz w:val="17"/>
                <w:szCs w:val="17"/>
                <w:color w:val="auto"/>
              </w:rPr>
            </w:pPr>
          </w:p>
        </w:tc>
        <w:tc>
          <w:tcPr>
            <w:tcW w:w="100" w:type="dxa"/>
            <w:vAlign w:val="bottom"/>
            <w:shd w:val="clear" w:color="auto" w:fill="E3ECF0"/>
          </w:tcPr>
          <w:p>
            <w:pPr>
              <w:spacing w:after="0"/>
              <w:rPr>
                <w:sz w:val="17"/>
                <w:szCs w:val="17"/>
                <w:color w:val="auto"/>
              </w:rPr>
            </w:pPr>
          </w:p>
        </w:tc>
        <w:tc>
          <w:tcPr>
            <w:tcW w:w="240" w:type="dxa"/>
            <w:vAlign w:val="bottom"/>
            <w:tcBorders>
              <w:right w:val="single" w:sz="8" w:color="47829E"/>
            </w:tcBorders>
            <w:shd w:val="clear" w:color="auto" w:fill="E3ECF0"/>
          </w:tcPr>
          <w:p>
            <w:pPr>
              <w:spacing w:after="0"/>
              <w:rPr>
                <w:sz w:val="17"/>
                <w:szCs w:val="17"/>
                <w:color w:val="auto"/>
              </w:rPr>
            </w:pPr>
          </w:p>
        </w:tc>
      </w:tr>
      <w:tr>
        <w:trPr>
          <w:trHeight w:val="203"/>
        </w:trPr>
        <w:tc>
          <w:tcPr>
            <w:tcW w:w="7460" w:type="dxa"/>
            <w:vAlign w:val="bottom"/>
            <w:tcBorders>
              <w:left w:val="single" w:sz="8" w:color="47829E"/>
            </w:tcBorders>
            <w:gridSpan w:val="2"/>
          </w:tcPr>
          <w:p>
            <w:pPr>
              <w:ind w:left="400"/>
              <w:spacing w:after="0" w:line="202" w:lineRule="exact"/>
              <w:rPr>
                <w:sz w:val="20"/>
                <w:szCs w:val="20"/>
                <w:color w:val="auto"/>
              </w:rPr>
            </w:pPr>
            <w:r>
              <w:rPr>
                <w:rFonts w:ascii="Arial" w:cs="Arial" w:eastAsia="Arial" w:hAnsi="Arial"/>
                <w:sz w:val="18"/>
                <w:szCs w:val="18"/>
                <w:color w:val="auto"/>
              </w:rPr>
              <w:t>Per diluted share impact of TXI acquisition-related expenses, net</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right w:val="single" w:sz="8" w:color="47829E"/>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0.91</w:t>
            </w:r>
          </w:p>
        </w:tc>
        <w:tc>
          <w:tcPr>
            <w:tcW w:w="100" w:type="dxa"/>
            <w:vAlign w:val="bottom"/>
          </w:tcPr>
          <w:p>
            <w:pPr>
              <w:spacing w:after="0"/>
              <w:rPr>
                <w:sz w:val="17"/>
                <w:szCs w:val="17"/>
                <w:color w:val="auto"/>
              </w:rPr>
            </w:pPr>
          </w:p>
        </w:tc>
        <w:tc>
          <w:tcPr>
            <w:tcW w:w="240" w:type="dxa"/>
            <w:vAlign w:val="bottom"/>
            <w:tcBorders>
              <w:right w:val="single" w:sz="8" w:color="47829E"/>
            </w:tcBorders>
          </w:tcPr>
          <w:p>
            <w:pPr>
              <w:spacing w:after="0"/>
              <w:rPr>
                <w:sz w:val="17"/>
                <w:szCs w:val="17"/>
                <w:color w:val="auto"/>
              </w:rPr>
            </w:pPr>
          </w:p>
        </w:tc>
      </w:tr>
      <w:tr>
        <w:trPr>
          <w:trHeight w:val="203"/>
        </w:trPr>
        <w:tc>
          <w:tcPr>
            <w:tcW w:w="7460" w:type="dxa"/>
            <w:vAlign w:val="bottom"/>
            <w:tcBorders>
              <w:left w:val="single" w:sz="8" w:color="47829E"/>
            </w:tcBorders>
            <w:gridSpan w:val="2"/>
            <w:shd w:val="clear" w:color="auto" w:fill="E3ECF0"/>
          </w:tcPr>
          <w:p>
            <w:pPr>
              <w:ind w:left="400"/>
              <w:spacing w:after="0" w:line="202" w:lineRule="exact"/>
              <w:rPr>
                <w:sz w:val="20"/>
                <w:szCs w:val="20"/>
                <w:color w:val="auto"/>
              </w:rPr>
            </w:pPr>
            <w:r>
              <w:rPr>
                <w:rFonts w:ascii="Arial" w:cs="Arial" w:eastAsia="Arial" w:hAnsi="Arial"/>
                <w:sz w:val="18"/>
                <w:szCs w:val="18"/>
                <w:color w:val="auto"/>
              </w:rPr>
              <w:t>Per diluted share impact of selling acquired inventory due to markup to fair value</w:t>
            </w:r>
          </w:p>
        </w:tc>
        <w:tc>
          <w:tcPr>
            <w:tcW w:w="300" w:type="dxa"/>
            <w:vAlign w:val="bottom"/>
            <w:shd w:val="clear" w:color="auto" w:fill="E3ECF0"/>
          </w:tcPr>
          <w:p>
            <w:pPr>
              <w:spacing w:after="0"/>
              <w:rPr>
                <w:sz w:val="17"/>
                <w:szCs w:val="17"/>
                <w:color w:val="auto"/>
              </w:rPr>
            </w:pPr>
          </w:p>
        </w:tc>
        <w:tc>
          <w:tcPr>
            <w:tcW w:w="300" w:type="dxa"/>
            <w:vAlign w:val="bottom"/>
            <w:tcBorders>
              <w:right w:val="single" w:sz="8" w:color="E3ECF0"/>
            </w:tcBorders>
            <w:shd w:val="clear" w:color="auto" w:fill="E3ECF0"/>
          </w:tcPr>
          <w:p>
            <w:pPr>
              <w:spacing w:after="0"/>
              <w:rPr>
                <w:sz w:val="17"/>
                <w:szCs w:val="17"/>
                <w:color w:val="auto"/>
              </w:rPr>
            </w:pPr>
          </w:p>
        </w:tc>
        <w:tc>
          <w:tcPr>
            <w:tcW w:w="780" w:type="dxa"/>
            <w:vAlign w:val="bottom"/>
            <w:tcBorders>
              <w:right w:val="single" w:sz="8" w:color="E3ECF0"/>
            </w:tcBorders>
            <w:shd w:val="clear" w:color="auto" w:fill="E3ECF0"/>
          </w:tcPr>
          <w:p>
            <w:pPr>
              <w:spacing w:after="0"/>
              <w:rPr>
                <w:sz w:val="17"/>
                <w:szCs w:val="17"/>
                <w:color w:val="auto"/>
              </w:rPr>
            </w:pPr>
          </w:p>
        </w:tc>
        <w:tc>
          <w:tcPr>
            <w:tcW w:w="240" w:type="dxa"/>
            <w:vAlign w:val="bottom"/>
            <w:tcBorders>
              <w:right w:val="single" w:sz="8" w:color="E3ECF0"/>
            </w:tcBorders>
            <w:shd w:val="clear" w:color="auto" w:fill="E3ECF0"/>
          </w:tcPr>
          <w:p>
            <w:pPr>
              <w:spacing w:after="0"/>
              <w:rPr>
                <w:sz w:val="17"/>
                <w:szCs w:val="17"/>
                <w:color w:val="auto"/>
              </w:rPr>
            </w:pPr>
          </w:p>
        </w:tc>
        <w:tc>
          <w:tcPr>
            <w:tcW w:w="200" w:type="dxa"/>
            <w:vAlign w:val="bottom"/>
            <w:tcBorders>
              <w:right w:val="single" w:sz="8" w:color="47829E"/>
            </w:tcBorders>
            <w:shd w:val="clear" w:color="auto" w:fill="E3ECF0"/>
          </w:tcPr>
          <w:p>
            <w:pPr>
              <w:spacing w:after="0"/>
              <w:rPr>
                <w:sz w:val="17"/>
                <w:szCs w:val="17"/>
                <w:color w:val="auto"/>
              </w:rPr>
            </w:pPr>
          </w:p>
        </w:tc>
        <w:tc>
          <w:tcPr>
            <w:tcW w:w="280" w:type="dxa"/>
            <w:vAlign w:val="bottom"/>
            <w:shd w:val="clear" w:color="auto" w:fill="E3ECF0"/>
          </w:tcPr>
          <w:p>
            <w:pPr>
              <w:spacing w:after="0"/>
              <w:rPr>
                <w:sz w:val="17"/>
                <w:szCs w:val="17"/>
                <w:color w:val="auto"/>
              </w:rPr>
            </w:pPr>
          </w:p>
        </w:tc>
        <w:tc>
          <w:tcPr>
            <w:tcW w:w="140" w:type="dxa"/>
            <w:vAlign w:val="bottom"/>
            <w:tcBorders>
              <w:right w:val="single" w:sz="8" w:color="E3ECF0"/>
            </w:tcBorders>
            <w:shd w:val="clear" w:color="auto" w:fill="E3ECF0"/>
          </w:tcPr>
          <w:p>
            <w:pPr>
              <w:spacing w:after="0"/>
              <w:rPr>
                <w:sz w:val="17"/>
                <w:szCs w:val="17"/>
                <w:color w:val="auto"/>
              </w:rPr>
            </w:pPr>
          </w:p>
        </w:tc>
        <w:tc>
          <w:tcPr>
            <w:tcW w:w="20" w:type="dxa"/>
            <w:vAlign w:val="bottom"/>
            <w:shd w:val="clear" w:color="auto" w:fill="E3ECF0"/>
          </w:tcPr>
          <w:p>
            <w:pPr>
              <w:spacing w:after="0"/>
              <w:rPr>
                <w:sz w:val="17"/>
                <w:szCs w:val="17"/>
                <w:color w:val="auto"/>
              </w:rPr>
            </w:pPr>
          </w:p>
        </w:tc>
        <w:tc>
          <w:tcPr>
            <w:tcW w:w="340" w:type="dxa"/>
            <w:vAlign w:val="bottom"/>
            <w:shd w:val="clear" w:color="auto" w:fill="E3ECF0"/>
          </w:tcPr>
          <w:p>
            <w:pPr>
              <w:spacing w:after="0"/>
              <w:rPr>
                <w:sz w:val="17"/>
                <w:szCs w:val="17"/>
                <w:color w:val="auto"/>
              </w:rPr>
            </w:pPr>
          </w:p>
        </w:tc>
        <w:tc>
          <w:tcPr>
            <w:tcW w:w="460" w:type="dxa"/>
            <w:vAlign w:val="bottom"/>
            <w:tcBorders>
              <w:bottom w:val="single" w:sz="8" w:color="auto"/>
              <w:right w:val="single" w:sz="8" w:color="E3ECF0"/>
            </w:tcBorders>
            <w:shd w:val="clear" w:color="auto" w:fill="E3ECF0"/>
          </w:tcPr>
          <w:p>
            <w:pPr>
              <w:jc w:val="right"/>
              <w:spacing w:after="0" w:line="202" w:lineRule="exact"/>
              <w:rPr>
                <w:sz w:val="20"/>
                <w:szCs w:val="20"/>
                <w:color w:val="auto"/>
              </w:rPr>
            </w:pPr>
            <w:r>
              <w:rPr>
                <w:rFonts w:ascii="Arial" w:cs="Arial" w:eastAsia="Arial" w:hAnsi="Arial"/>
                <w:sz w:val="18"/>
                <w:szCs w:val="18"/>
                <w:color w:val="auto"/>
              </w:rPr>
              <w:t>0.12</w:t>
            </w:r>
          </w:p>
        </w:tc>
        <w:tc>
          <w:tcPr>
            <w:tcW w:w="580" w:type="dxa"/>
            <w:vAlign w:val="bottom"/>
            <w:shd w:val="clear" w:color="auto" w:fill="E3ECF0"/>
          </w:tcPr>
          <w:p>
            <w:pPr>
              <w:spacing w:after="0"/>
              <w:rPr>
                <w:sz w:val="17"/>
                <w:szCs w:val="17"/>
                <w:color w:val="auto"/>
              </w:rPr>
            </w:pPr>
          </w:p>
        </w:tc>
        <w:tc>
          <w:tcPr>
            <w:tcW w:w="100" w:type="dxa"/>
            <w:vAlign w:val="bottom"/>
            <w:shd w:val="clear" w:color="auto" w:fill="E3ECF0"/>
          </w:tcPr>
          <w:p>
            <w:pPr>
              <w:spacing w:after="0"/>
              <w:rPr>
                <w:sz w:val="17"/>
                <w:szCs w:val="17"/>
                <w:color w:val="auto"/>
              </w:rPr>
            </w:pPr>
          </w:p>
        </w:tc>
        <w:tc>
          <w:tcPr>
            <w:tcW w:w="240" w:type="dxa"/>
            <w:vAlign w:val="bottom"/>
            <w:tcBorders>
              <w:right w:val="single" w:sz="8" w:color="47829E"/>
            </w:tcBorders>
            <w:shd w:val="clear" w:color="auto" w:fill="E3ECF0"/>
          </w:tcPr>
          <w:p>
            <w:pPr>
              <w:spacing w:after="0"/>
              <w:rPr>
                <w:sz w:val="17"/>
                <w:szCs w:val="17"/>
                <w:color w:val="auto"/>
              </w:rPr>
            </w:pPr>
          </w:p>
        </w:tc>
      </w:tr>
      <w:tr>
        <w:trPr>
          <w:trHeight w:val="210"/>
        </w:trPr>
        <w:tc>
          <w:tcPr>
            <w:tcW w:w="7460" w:type="dxa"/>
            <w:vAlign w:val="bottom"/>
            <w:tcBorders>
              <w:left w:val="single" w:sz="8" w:color="47829E"/>
            </w:tcBorders>
            <w:gridSpan w:val="2"/>
          </w:tcPr>
          <w:p>
            <w:pPr>
              <w:ind w:left="120"/>
              <w:spacing w:after="0"/>
              <w:rPr>
                <w:sz w:val="20"/>
                <w:szCs w:val="20"/>
                <w:color w:val="auto"/>
              </w:rPr>
            </w:pPr>
            <w:r>
              <w:rPr>
                <w:rFonts w:ascii="Arial" w:cs="Arial" w:eastAsia="Arial" w:hAnsi="Arial"/>
                <w:sz w:val="18"/>
                <w:szCs w:val="18"/>
                <w:color w:val="auto"/>
              </w:rPr>
              <w:t>Adjusted earnings per diluted share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right w:val="single" w:sz="8" w:color="47829E"/>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3.74</w:t>
            </w:r>
          </w:p>
        </w:tc>
        <w:tc>
          <w:tcPr>
            <w:tcW w:w="100" w:type="dxa"/>
            <w:vAlign w:val="bottom"/>
          </w:tcPr>
          <w:p>
            <w:pPr>
              <w:spacing w:after="0"/>
              <w:rPr>
                <w:sz w:val="18"/>
                <w:szCs w:val="18"/>
                <w:color w:val="auto"/>
              </w:rPr>
            </w:pPr>
          </w:p>
        </w:tc>
        <w:tc>
          <w:tcPr>
            <w:tcW w:w="240" w:type="dxa"/>
            <w:vAlign w:val="bottom"/>
            <w:tcBorders>
              <w:right w:val="single" w:sz="8" w:color="47829E"/>
            </w:tcBorders>
          </w:tcPr>
          <w:p>
            <w:pPr>
              <w:spacing w:after="0"/>
              <w:rPr>
                <w:sz w:val="18"/>
                <w:szCs w:val="18"/>
                <w:color w:val="auto"/>
              </w:rPr>
            </w:pPr>
          </w:p>
        </w:tc>
      </w:tr>
      <w:tr>
        <w:trPr>
          <w:trHeight w:val="20"/>
        </w:trPr>
        <w:tc>
          <w:tcPr>
            <w:tcW w:w="7460" w:type="dxa"/>
            <w:vAlign w:val="bottom"/>
            <w:tcBorders>
              <w:left w:val="single" w:sz="8" w:color="47829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47829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r>
      <w:tr>
        <w:trPr>
          <w:trHeight w:val="20"/>
        </w:trPr>
        <w:tc>
          <w:tcPr>
            <w:tcW w:w="7460" w:type="dxa"/>
            <w:vAlign w:val="bottom"/>
            <w:tcBorders>
              <w:left w:val="single" w:sz="8" w:color="47829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47829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47829E"/>
            </w:tcBorders>
          </w:tcPr>
          <w:p>
            <w:pPr>
              <w:spacing w:after="0" w:line="20" w:lineRule="exact"/>
              <w:rPr>
                <w:sz w:val="1"/>
                <w:szCs w:val="1"/>
                <w:color w:val="auto"/>
              </w:rPr>
            </w:pPr>
          </w:p>
        </w:tc>
      </w:tr>
      <w:tr>
        <w:trPr>
          <w:trHeight w:val="20"/>
        </w:trPr>
        <w:tc>
          <w:tcPr>
            <w:tcW w:w="7460" w:type="dxa"/>
            <w:vAlign w:val="bottom"/>
            <w:tcBorders>
              <w:left w:val="single" w:sz="8" w:color="47829E"/>
              <w:bottom w:val="single" w:sz="8" w:color="47829E"/>
            </w:tcBorders>
            <w:gridSpan w:val="2"/>
          </w:tcPr>
          <w:p>
            <w:pPr>
              <w:spacing w:after="0" w:line="20" w:lineRule="exact"/>
              <w:rPr>
                <w:sz w:val="1"/>
                <w:szCs w:val="1"/>
                <w:color w:val="auto"/>
              </w:rPr>
            </w:pPr>
          </w:p>
        </w:tc>
        <w:tc>
          <w:tcPr>
            <w:tcW w:w="300" w:type="dxa"/>
            <w:vAlign w:val="bottom"/>
            <w:tcBorders>
              <w:bottom w:val="single" w:sz="8" w:color="47829E"/>
            </w:tcBorders>
          </w:tcPr>
          <w:p>
            <w:pPr>
              <w:spacing w:after="0" w:line="20" w:lineRule="exact"/>
              <w:rPr>
                <w:sz w:val="1"/>
                <w:szCs w:val="1"/>
                <w:color w:val="auto"/>
              </w:rPr>
            </w:pPr>
          </w:p>
        </w:tc>
        <w:tc>
          <w:tcPr>
            <w:tcW w:w="300" w:type="dxa"/>
            <w:vAlign w:val="bottom"/>
            <w:tcBorders>
              <w:bottom w:val="single" w:sz="8" w:color="47829E"/>
            </w:tcBorders>
          </w:tcPr>
          <w:p>
            <w:pPr>
              <w:spacing w:after="0" w:line="20" w:lineRule="exact"/>
              <w:rPr>
                <w:sz w:val="1"/>
                <w:szCs w:val="1"/>
                <w:color w:val="auto"/>
              </w:rPr>
            </w:pPr>
          </w:p>
        </w:tc>
        <w:tc>
          <w:tcPr>
            <w:tcW w:w="780" w:type="dxa"/>
            <w:vAlign w:val="bottom"/>
            <w:tcBorders>
              <w:bottom w:val="single" w:sz="8" w:color="47829E"/>
            </w:tcBorders>
          </w:tcPr>
          <w:p>
            <w:pPr>
              <w:spacing w:after="0" w:line="20" w:lineRule="exact"/>
              <w:rPr>
                <w:sz w:val="1"/>
                <w:szCs w:val="1"/>
                <w:color w:val="auto"/>
              </w:rPr>
            </w:pPr>
          </w:p>
        </w:tc>
        <w:tc>
          <w:tcPr>
            <w:tcW w:w="240" w:type="dxa"/>
            <w:vAlign w:val="bottom"/>
            <w:tcBorders>
              <w:bottom w:val="single" w:sz="8" w:color="47829E"/>
            </w:tcBorders>
          </w:tcPr>
          <w:p>
            <w:pPr>
              <w:spacing w:after="0" w:line="20" w:lineRule="exact"/>
              <w:rPr>
                <w:sz w:val="1"/>
                <w:szCs w:val="1"/>
                <w:color w:val="auto"/>
              </w:rPr>
            </w:pPr>
          </w:p>
        </w:tc>
        <w:tc>
          <w:tcPr>
            <w:tcW w:w="200" w:type="dxa"/>
            <w:vAlign w:val="bottom"/>
            <w:tcBorders>
              <w:bottom w:val="single" w:sz="8" w:color="47829E"/>
              <w:right w:val="single" w:sz="8" w:color="47829E"/>
            </w:tcBorders>
          </w:tcPr>
          <w:p>
            <w:pPr>
              <w:spacing w:after="0" w:line="20" w:lineRule="exact"/>
              <w:rPr>
                <w:sz w:val="1"/>
                <w:szCs w:val="1"/>
                <w:color w:val="auto"/>
              </w:rPr>
            </w:pPr>
          </w:p>
        </w:tc>
        <w:tc>
          <w:tcPr>
            <w:tcW w:w="280" w:type="dxa"/>
            <w:vAlign w:val="bottom"/>
            <w:tcBorders>
              <w:bottom w:val="single" w:sz="8" w:color="47829E"/>
            </w:tcBorders>
          </w:tcPr>
          <w:p>
            <w:pPr>
              <w:spacing w:after="0" w:line="20" w:lineRule="exact"/>
              <w:rPr>
                <w:sz w:val="1"/>
                <w:szCs w:val="1"/>
                <w:color w:val="auto"/>
              </w:rPr>
            </w:pPr>
          </w:p>
        </w:tc>
        <w:tc>
          <w:tcPr>
            <w:tcW w:w="140" w:type="dxa"/>
            <w:vAlign w:val="bottom"/>
            <w:tcBorders>
              <w:bottom w:val="single" w:sz="8" w:color="47829E"/>
            </w:tcBorders>
          </w:tcPr>
          <w:p>
            <w:pPr>
              <w:spacing w:after="0" w:line="20" w:lineRule="exact"/>
              <w:rPr>
                <w:sz w:val="1"/>
                <w:szCs w:val="1"/>
                <w:color w:val="auto"/>
              </w:rPr>
            </w:pPr>
          </w:p>
        </w:tc>
        <w:tc>
          <w:tcPr>
            <w:tcW w:w="20" w:type="dxa"/>
            <w:vAlign w:val="bottom"/>
            <w:tcBorders>
              <w:bottom w:val="single" w:sz="8" w:color="47829E"/>
            </w:tcBorders>
          </w:tcPr>
          <w:p>
            <w:pPr>
              <w:spacing w:after="0" w:line="20" w:lineRule="exact"/>
              <w:rPr>
                <w:sz w:val="1"/>
                <w:szCs w:val="1"/>
                <w:color w:val="auto"/>
              </w:rPr>
            </w:pPr>
          </w:p>
        </w:tc>
        <w:tc>
          <w:tcPr>
            <w:tcW w:w="340" w:type="dxa"/>
            <w:vAlign w:val="bottom"/>
            <w:tcBorders>
              <w:bottom w:val="single" w:sz="8" w:color="47829E"/>
            </w:tcBorders>
          </w:tcPr>
          <w:p>
            <w:pPr>
              <w:spacing w:after="0" w:line="20" w:lineRule="exact"/>
              <w:rPr>
                <w:sz w:val="1"/>
                <w:szCs w:val="1"/>
                <w:color w:val="auto"/>
              </w:rPr>
            </w:pPr>
          </w:p>
        </w:tc>
        <w:tc>
          <w:tcPr>
            <w:tcW w:w="460" w:type="dxa"/>
            <w:vAlign w:val="bottom"/>
            <w:tcBorders>
              <w:bottom w:val="single" w:sz="8" w:color="47829E"/>
            </w:tcBorders>
          </w:tcPr>
          <w:p>
            <w:pPr>
              <w:spacing w:after="0" w:line="20" w:lineRule="exact"/>
              <w:rPr>
                <w:sz w:val="1"/>
                <w:szCs w:val="1"/>
                <w:color w:val="auto"/>
              </w:rPr>
            </w:pPr>
          </w:p>
        </w:tc>
        <w:tc>
          <w:tcPr>
            <w:tcW w:w="580" w:type="dxa"/>
            <w:vAlign w:val="bottom"/>
            <w:tcBorders>
              <w:bottom w:val="single" w:sz="8" w:color="47829E"/>
            </w:tcBorders>
          </w:tcPr>
          <w:p>
            <w:pPr>
              <w:spacing w:after="0" w:line="20" w:lineRule="exact"/>
              <w:rPr>
                <w:sz w:val="1"/>
                <w:szCs w:val="1"/>
                <w:color w:val="auto"/>
              </w:rPr>
            </w:pPr>
          </w:p>
        </w:tc>
        <w:tc>
          <w:tcPr>
            <w:tcW w:w="100" w:type="dxa"/>
            <w:vAlign w:val="bottom"/>
            <w:tcBorders>
              <w:bottom w:val="single" w:sz="8" w:color="47829E"/>
            </w:tcBorders>
          </w:tcPr>
          <w:p>
            <w:pPr>
              <w:spacing w:after="0" w:line="20" w:lineRule="exact"/>
              <w:rPr>
                <w:sz w:val="1"/>
                <w:szCs w:val="1"/>
                <w:color w:val="auto"/>
              </w:rPr>
            </w:pPr>
          </w:p>
        </w:tc>
        <w:tc>
          <w:tcPr>
            <w:tcW w:w="240" w:type="dxa"/>
            <w:vAlign w:val="bottom"/>
            <w:tcBorders>
              <w:bottom w:val="single" w:sz="8" w:color="47829E"/>
              <w:right w:val="single" w:sz="8" w:color="47829E"/>
            </w:tcBorders>
          </w:tcPr>
          <w:p>
            <w:pPr>
              <w:spacing w:after="0" w:line="20" w:lineRule="exact"/>
              <w:rPr>
                <w:sz w:val="1"/>
                <w:szCs w:val="1"/>
                <w:color w:val="auto"/>
              </w:rPr>
            </w:pPr>
          </w:p>
        </w:tc>
      </w:tr>
      <w:tr>
        <w:trPr>
          <w:trHeight w:val="331"/>
        </w:trPr>
        <w:tc>
          <w:tcPr>
            <w:tcW w:w="7460" w:type="dxa"/>
            <w:vAlign w:val="bottom"/>
            <w:gridSpan w:val="2"/>
          </w:tcPr>
          <w:p>
            <w:pPr>
              <w:ind w:left="5580"/>
              <w:spacing w:after="0"/>
              <w:rPr>
                <w:sz w:val="20"/>
                <w:szCs w:val="20"/>
                <w:color w:val="auto"/>
              </w:rPr>
            </w:pPr>
            <w:r>
              <w:rPr>
                <w:rFonts w:ascii="Arial" w:cs="Arial" w:eastAsia="Arial" w:hAnsi="Arial"/>
                <w:sz w:val="18"/>
                <w:szCs w:val="18"/>
                <w:color w:val="auto"/>
              </w:rPr>
              <w:t>B-2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440"/>
          </w:cols>
          <w:pgMar w:left="240" w:top="269" w:right="21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2653030</wp:posOffset>
            </wp:positionH>
            <wp:positionV relativeFrom="page">
              <wp:posOffset>4325620</wp:posOffset>
            </wp:positionV>
            <wp:extent cx="2263775" cy="660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226377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Martin Marietta</w:t>
      </w:r>
    </w:p>
    <w:p>
      <w:pPr>
        <w:jc w:val="center"/>
        <w:ind w:right="-20"/>
        <w:spacing w:after="0" w:line="234" w:lineRule="auto"/>
        <w:rPr>
          <w:sz w:val="20"/>
          <w:szCs w:val="20"/>
          <w:color w:val="auto"/>
        </w:rPr>
      </w:pPr>
      <w:r>
        <w:rPr>
          <w:rFonts w:ascii="Arial" w:cs="Arial" w:eastAsia="Arial" w:hAnsi="Arial"/>
          <w:sz w:val="18"/>
          <w:szCs w:val="18"/>
          <w:color w:val="auto"/>
        </w:rPr>
        <w:t>2710 Wycliff Road</w:t>
      </w:r>
    </w:p>
    <w:p>
      <w:pPr>
        <w:jc w:val="center"/>
        <w:ind w:right="-20"/>
        <w:spacing w:after="0" w:line="235" w:lineRule="auto"/>
        <w:rPr>
          <w:sz w:val="20"/>
          <w:szCs w:val="20"/>
          <w:color w:val="auto"/>
        </w:rPr>
      </w:pPr>
      <w:r>
        <w:rPr>
          <w:rFonts w:ascii="Arial" w:cs="Arial" w:eastAsia="Arial" w:hAnsi="Arial"/>
          <w:sz w:val="18"/>
          <w:szCs w:val="18"/>
          <w:color w:val="auto"/>
        </w:rPr>
        <w:t>Raleigh, NC 27607</w:t>
      </w:r>
    </w:p>
    <w:p>
      <w:pPr>
        <w:jc w:val="center"/>
        <w:ind w:right="-20"/>
        <w:spacing w:after="0" w:line="235" w:lineRule="auto"/>
        <w:rPr>
          <w:sz w:val="20"/>
          <w:szCs w:val="20"/>
          <w:color w:val="auto"/>
        </w:rPr>
      </w:pPr>
      <w:r>
        <w:rPr>
          <w:rFonts w:ascii="Arial" w:cs="Arial" w:eastAsia="Arial" w:hAnsi="Arial"/>
          <w:sz w:val="18"/>
          <w:szCs w:val="18"/>
          <w:color w:val="auto"/>
        </w:rPr>
        <w:t>919-781-4550</w:t>
      </w:r>
    </w:p>
    <w:p>
      <w:pPr>
        <w:jc w:val="center"/>
        <w:ind w:right="-20"/>
        <w:spacing w:after="0" w:line="235" w:lineRule="auto"/>
        <w:rPr>
          <w:sz w:val="20"/>
          <w:szCs w:val="20"/>
          <w:color w:val="auto"/>
        </w:rPr>
      </w:pPr>
      <w:r>
        <w:rPr>
          <w:rFonts w:ascii="Arial" w:cs="Arial" w:eastAsia="Arial" w:hAnsi="Arial"/>
          <w:sz w:val="18"/>
          <w:szCs w:val="18"/>
          <w:color w:val="auto"/>
        </w:rPr>
        <w:t>www.martinmarietta.com</w:t>
      </w:r>
    </w:p>
    <w:p>
      <w:pPr>
        <w:jc w:val="center"/>
        <w:ind w:right="-20"/>
        <w:spacing w:after="0"/>
        <w:rPr>
          <w:sz w:val="20"/>
          <w:szCs w:val="20"/>
          <w:color w:val="auto"/>
        </w:rPr>
      </w:pPr>
      <w:r>
        <w:rPr>
          <w:rFonts w:ascii="Arial" w:cs="Arial" w:eastAsia="Arial" w:hAnsi="Arial"/>
          <w:sz w:val="16"/>
          <w:szCs w:val="16"/>
          <w:color w:val="auto"/>
        </w:rPr>
        <w:t>NYSE Stock Symbol: MLM</w:t>
      </w:r>
    </w:p>
    <w:p>
      <w:pPr>
        <w:sectPr>
          <w:pgSz w:w="11900" w:h="16838" w:orient="portrait"/>
          <w:cols w:equalWidth="0" w:num="1">
            <w:col w:w="9019"/>
          </w:cols>
          <w:pgMar w:left="1440" w:top="1440"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MEETING OF SHAREHOLDERS OF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MARTIN MARIETTA MATERIALS,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May 21, 2015</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GO GREEN</w:t>
      </w:r>
    </w:p>
    <w:p>
      <w:pPr>
        <w:spacing w:after="0" w:line="113"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e-Consent makes it easy to go paperless. With e-Consent, you can quickly access your</w:t>
      </w:r>
    </w:p>
    <w:p>
      <w:pPr>
        <w:ind w:left="3220"/>
        <w:spacing w:after="0" w:line="221" w:lineRule="auto"/>
        <w:rPr>
          <w:sz w:val="20"/>
          <w:szCs w:val="20"/>
          <w:color w:val="auto"/>
        </w:rPr>
      </w:pPr>
      <w:r>
        <w:rPr>
          <w:rFonts w:ascii="Arial" w:cs="Arial" w:eastAsia="Arial" w:hAnsi="Arial"/>
          <w:sz w:val="14"/>
          <w:szCs w:val="14"/>
          <w:color w:val="auto"/>
        </w:rPr>
        <w:t>proxy material, statements and other eligible documents online, while reducing costs,</w:t>
      </w:r>
    </w:p>
    <w:p>
      <w:pPr>
        <w:ind w:left="3220"/>
        <w:spacing w:after="0"/>
        <w:rPr>
          <w:sz w:val="20"/>
          <w:szCs w:val="20"/>
          <w:color w:val="auto"/>
        </w:rPr>
      </w:pPr>
      <w:r>
        <w:rPr>
          <w:rFonts w:ascii="Arial" w:cs="Arial" w:eastAsia="Arial" w:hAnsi="Arial"/>
          <w:sz w:val="14"/>
          <w:szCs w:val="14"/>
          <w:color w:val="auto"/>
        </w:rPr>
        <w:t>clutter and paper waste. Enroll today via www.amstock.com to enjoy online access.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NOTICE OF INTERNET AVAILABILITY OF PROXY MATERIAL</w:t>
      </w:r>
      <w:r>
        <w:rPr>
          <w:rFonts w:ascii="Arial" w:cs="Arial" w:eastAsia="Arial" w:hAnsi="Arial"/>
          <w:sz w:val="14"/>
          <w:szCs w:val="14"/>
          <w:color w:val="auto"/>
        </w:rPr>
        <w: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proxy statement, form of proxy card and 2014 Annual Report to Shareholders</w:t>
      </w:r>
    </w:p>
    <w:p>
      <w:pPr>
        <w:jc w:val="center"/>
        <w:ind w:right="-19"/>
        <w:spacing w:after="0"/>
        <w:rPr>
          <w:sz w:val="20"/>
          <w:szCs w:val="20"/>
          <w:color w:val="auto"/>
        </w:rPr>
      </w:pPr>
      <w:r>
        <w:rPr>
          <w:rFonts w:ascii="Arial" w:cs="Arial" w:eastAsia="Arial" w:hAnsi="Arial"/>
          <w:sz w:val="14"/>
          <w:szCs w:val="14"/>
          <w:color w:val="auto"/>
        </w:rPr>
        <w:t>are available for review on the Internet at ir.martinmarietta.com/annuals-proxies.cfm.</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Please sign, date and mail</w:t>
      </w:r>
    </w:p>
    <w:p>
      <w:pPr>
        <w:jc w:val="center"/>
        <w:spacing w:after="0" w:line="221" w:lineRule="auto"/>
        <w:rPr>
          <w:sz w:val="20"/>
          <w:szCs w:val="20"/>
          <w:color w:val="auto"/>
        </w:rPr>
      </w:pPr>
      <w:r>
        <w:rPr>
          <w:rFonts w:ascii="Arial" w:cs="Arial" w:eastAsia="Arial" w:hAnsi="Arial"/>
          <w:sz w:val="14"/>
          <w:szCs w:val="14"/>
          <w:color w:val="auto"/>
        </w:rPr>
        <w:t>your proxy card in the</w:t>
      </w:r>
    </w:p>
    <w:p>
      <w:pPr>
        <w:jc w:val="center"/>
        <w:spacing w:after="0" w:line="221" w:lineRule="auto"/>
        <w:rPr>
          <w:sz w:val="20"/>
          <w:szCs w:val="20"/>
          <w:color w:val="auto"/>
        </w:rPr>
      </w:pPr>
      <w:r>
        <w:rPr>
          <w:rFonts w:ascii="Arial" w:cs="Arial" w:eastAsia="Arial" w:hAnsi="Arial"/>
          <w:sz w:val="14"/>
          <w:szCs w:val="14"/>
          <w:color w:val="auto"/>
        </w:rPr>
        <w:t>envelope provided as soon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73660</wp:posOffset>
            </wp:positionV>
            <wp:extent cx="68580"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73660</wp:posOffset>
            </wp:positionV>
            <wp:extent cx="68580" cy="205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Please detach along perforated line and mail in the envelope provided.</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4020" w:type="dxa"/>
            <w:vAlign w:val="bottom"/>
          </w:tcPr>
          <w:p>
            <w:pPr>
              <w:jc w:val="right"/>
              <w:ind w:right="2228"/>
              <w:spacing w:after="0"/>
              <w:rPr>
                <w:sz w:val="20"/>
                <w:szCs w:val="20"/>
                <w:color w:val="auto"/>
              </w:rPr>
            </w:pPr>
            <w:r>
              <w:rPr>
                <w:rFonts w:ascii="Arial" w:cs="Arial" w:eastAsia="Arial" w:hAnsi="Arial"/>
                <w:sz w:val="14"/>
                <w:szCs w:val="14"/>
                <w:color w:val="auto"/>
              </w:rPr>
              <w:t>00033333300000000000 3</w:t>
            </w:r>
          </w:p>
        </w:tc>
        <w:tc>
          <w:tcPr>
            <w:tcW w:w="2720" w:type="dxa"/>
            <w:vAlign w:val="bottom"/>
          </w:tcPr>
          <w:p>
            <w:pPr>
              <w:jc w:val="right"/>
              <w:spacing w:after="0"/>
              <w:rPr>
                <w:sz w:val="20"/>
                <w:szCs w:val="20"/>
                <w:color w:val="auto"/>
              </w:rPr>
            </w:pPr>
            <w:r>
              <w:rPr>
                <w:rFonts w:ascii="Arial" w:cs="Arial" w:eastAsia="Arial" w:hAnsi="Arial"/>
                <w:sz w:val="14"/>
                <w:szCs w:val="14"/>
                <w:color w:val="auto"/>
              </w:rPr>
              <w:t>052115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BOARD OF DIRECTORS RECOMMENDS YOU VOTE FOR ITEMS 1, 2, and 3.</w:t>
      </w:r>
    </w:p>
    <w:p>
      <w:pPr>
        <w:spacing w:after="0" w:line="12" w:lineRule="exact"/>
        <w:rPr>
          <w:sz w:val="20"/>
          <w:szCs w:val="20"/>
          <w:color w:val="auto"/>
        </w:rPr>
      </w:pPr>
    </w:p>
    <w:p>
      <w:pPr>
        <w:jc w:val="center"/>
        <w:ind w:right="20"/>
        <w:spacing w:after="0" w:line="161"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1127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3112770"/>
                    </a:xfrm>
                    <a:prstGeom prst="rect">
                      <a:avLst/>
                    </a:prstGeom>
                    <a:noFill/>
                  </pic:spPr>
                </pic:pic>
              </a:graphicData>
            </a:graphic>
          </wp:anchor>
        </w:drawing>
      </w:r>
    </w:p>
    <w:p>
      <w:pPr>
        <w:sectPr>
          <w:pgSz w:w="11900" w:h="16838" w:orient="portrait"/>
          <w:cols w:equalWidth="0" w:num="1">
            <w:col w:w="11440"/>
          </w:cols>
          <w:pgMar w:left="240" w:top="26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420" w:type="dxa"/>
        <w:tblCellMar>
          <w:top w:w="0" w:type="dxa"/>
          <w:left w:w="0" w:type="dxa"/>
          <w:bottom w:w="0" w:type="dxa"/>
          <w:right w:w="0" w:type="dxa"/>
        </w:tblCellMar>
      </w:tblPr>
      <w:tr>
        <w:trPr>
          <w:trHeight w:val="182"/>
        </w:trPr>
        <w:tc>
          <w:tcPr>
            <w:tcW w:w="160" w:type="dxa"/>
            <w:vAlign w:val="bottom"/>
          </w:tcPr>
          <w:p>
            <w:pPr>
              <w:jc w:val="right"/>
              <w:spacing w:after="0"/>
              <w:rPr>
                <w:sz w:val="20"/>
                <w:szCs w:val="20"/>
                <w:color w:val="auto"/>
              </w:rPr>
            </w:pPr>
            <w:r>
              <w:rPr>
                <w:rFonts w:ascii="Arial" w:cs="Arial" w:eastAsia="Arial" w:hAnsi="Arial"/>
                <w:sz w:val="14"/>
                <w:szCs w:val="14"/>
                <w:color w:val="auto"/>
                <w:w w:val="85"/>
              </w:rPr>
              <w:t>1.</w:t>
            </w:r>
          </w:p>
        </w:tc>
        <w:tc>
          <w:tcPr>
            <w:tcW w:w="4400" w:type="dxa"/>
            <w:vAlign w:val="bottom"/>
          </w:tcPr>
          <w:p>
            <w:pPr>
              <w:ind w:left="60"/>
              <w:spacing w:after="0"/>
              <w:rPr>
                <w:sz w:val="20"/>
                <w:szCs w:val="20"/>
                <w:color w:val="auto"/>
              </w:rPr>
            </w:pPr>
            <w:r>
              <w:rPr>
                <w:rFonts w:ascii="Arial" w:cs="Arial" w:eastAsia="Arial" w:hAnsi="Arial"/>
                <w:sz w:val="14"/>
                <w:szCs w:val="14"/>
                <w:color w:val="auto"/>
              </w:rPr>
              <w:t>Election of Directors:</w:t>
            </w:r>
          </w:p>
        </w:tc>
        <w:tc>
          <w:tcPr>
            <w:tcW w:w="440" w:type="dxa"/>
            <w:vAlign w:val="bottom"/>
          </w:tcPr>
          <w:p>
            <w:pPr>
              <w:jc w:val="center"/>
              <w:spacing w:after="0"/>
              <w:rPr>
                <w:sz w:val="20"/>
                <w:szCs w:val="20"/>
                <w:color w:val="auto"/>
              </w:rPr>
            </w:pPr>
            <w:r>
              <w:rPr>
                <w:rFonts w:ascii="Arial" w:cs="Arial" w:eastAsia="Arial" w:hAnsi="Arial"/>
                <w:sz w:val="14"/>
                <w:szCs w:val="14"/>
                <w:color w:val="auto"/>
                <w:w w:val="94"/>
              </w:rPr>
              <w:t>FOR</w:t>
            </w:r>
          </w:p>
        </w:tc>
        <w:tc>
          <w:tcPr>
            <w:tcW w:w="780" w:type="dxa"/>
            <w:vAlign w:val="bottom"/>
          </w:tcPr>
          <w:p>
            <w:pPr>
              <w:jc w:val="center"/>
              <w:spacing w:after="0"/>
              <w:rPr>
                <w:sz w:val="20"/>
                <w:szCs w:val="20"/>
                <w:color w:val="auto"/>
              </w:rPr>
            </w:pPr>
            <w:r>
              <w:rPr>
                <w:rFonts w:ascii="Arial" w:cs="Arial" w:eastAsia="Arial" w:hAnsi="Arial"/>
                <w:sz w:val="14"/>
                <w:szCs w:val="14"/>
                <w:color w:val="auto"/>
              </w:rPr>
              <w:t>AGAINST</w:t>
            </w:r>
          </w:p>
        </w:tc>
        <w:tc>
          <w:tcPr>
            <w:tcW w:w="680" w:type="dxa"/>
            <w:vAlign w:val="bottom"/>
          </w:tcPr>
          <w:p>
            <w:pPr>
              <w:jc w:val="center"/>
              <w:ind w:left="8"/>
              <w:spacing w:after="0"/>
              <w:rPr>
                <w:sz w:val="20"/>
                <w:szCs w:val="20"/>
                <w:color w:val="auto"/>
              </w:rPr>
            </w:pPr>
            <w:r>
              <w:rPr>
                <w:rFonts w:ascii="Arial" w:cs="Arial" w:eastAsia="Arial" w:hAnsi="Arial"/>
                <w:sz w:val="14"/>
                <w:szCs w:val="14"/>
                <w:color w:val="auto"/>
              </w:rPr>
              <w:t>ABSTAIN</w:t>
            </w:r>
          </w:p>
        </w:tc>
      </w:tr>
      <w:tr>
        <w:trPr>
          <w:trHeight w:val="313"/>
        </w:trPr>
        <w:tc>
          <w:tcPr>
            <w:tcW w:w="160" w:type="dxa"/>
            <w:vAlign w:val="bottom"/>
          </w:tcPr>
          <w:p>
            <w:pPr>
              <w:spacing w:after="0"/>
              <w:rPr>
                <w:sz w:val="24"/>
                <w:szCs w:val="24"/>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auto"/>
              </w:rPr>
              <w:t>David G. Maffucci</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1"/>
        </w:trPr>
        <w:tc>
          <w:tcPr>
            <w:tcW w:w="160" w:type="dxa"/>
            <w:vAlign w:val="bottom"/>
          </w:tcPr>
          <w:p>
            <w:pPr>
              <w:spacing w:after="0"/>
              <w:rPr>
                <w:sz w:val="24"/>
                <w:szCs w:val="24"/>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auto"/>
              </w:rPr>
              <w:t>William E. McDonald</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1"/>
        </w:trPr>
        <w:tc>
          <w:tcPr>
            <w:tcW w:w="160" w:type="dxa"/>
            <w:vAlign w:val="bottom"/>
          </w:tcPr>
          <w:p>
            <w:pPr>
              <w:spacing w:after="0"/>
              <w:rPr>
                <w:sz w:val="24"/>
                <w:szCs w:val="24"/>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auto"/>
              </w:rPr>
              <w:t>Frank H. Menaker, Jr.</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1"/>
        </w:trPr>
        <w:tc>
          <w:tcPr>
            <w:tcW w:w="160" w:type="dxa"/>
            <w:vAlign w:val="bottom"/>
          </w:tcPr>
          <w:p>
            <w:pPr>
              <w:spacing w:after="0"/>
              <w:rPr>
                <w:sz w:val="24"/>
                <w:szCs w:val="24"/>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auto"/>
              </w:rPr>
              <w:t>Richard A. Vinroot</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1"/>
        </w:trPr>
        <w:tc>
          <w:tcPr>
            <w:tcW w:w="16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4400" w:type="dxa"/>
            <w:vAlign w:val="bottom"/>
          </w:tcPr>
          <w:p>
            <w:pPr>
              <w:ind w:left="60"/>
              <w:spacing w:after="0"/>
              <w:rPr>
                <w:sz w:val="20"/>
                <w:szCs w:val="20"/>
                <w:color w:val="auto"/>
              </w:rPr>
            </w:pPr>
            <w:r>
              <w:rPr>
                <w:rFonts w:ascii="Arial" w:cs="Arial" w:eastAsia="Arial" w:hAnsi="Arial"/>
                <w:sz w:val="14"/>
                <w:szCs w:val="14"/>
                <w:color w:val="auto"/>
                <w:w w:val="98"/>
              </w:rPr>
              <w:t>Ratification of selection of Ernst &amp; Young LLP as independent auditors.</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3"/>
        </w:trPr>
        <w:tc>
          <w:tcPr>
            <w:tcW w:w="160" w:type="dxa"/>
            <w:vAlign w:val="bottom"/>
          </w:tcPr>
          <w:p>
            <w:pPr>
              <w:jc w:val="right"/>
              <w:spacing w:after="0"/>
              <w:rPr>
                <w:sz w:val="20"/>
                <w:szCs w:val="20"/>
                <w:color w:val="auto"/>
              </w:rPr>
            </w:pPr>
            <w:r>
              <w:rPr>
                <w:rFonts w:ascii="Arial" w:cs="Arial" w:eastAsia="Arial" w:hAnsi="Arial"/>
                <w:sz w:val="14"/>
                <w:szCs w:val="14"/>
                <w:color w:val="auto"/>
                <w:w w:val="85"/>
              </w:rPr>
              <w:t>3.</w:t>
            </w:r>
          </w:p>
        </w:tc>
        <w:tc>
          <w:tcPr>
            <w:tcW w:w="4400" w:type="dxa"/>
            <w:vAlign w:val="bottom"/>
          </w:tcPr>
          <w:p>
            <w:pPr>
              <w:ind w:left="60"/>
              <w:spacing w:after="0"/>
              <w:rPr>
                <w:sz w:val="20"/>
                <w:szCs w:val="20"/>
                <w:color w:val="auto"/>
              </w:rPr>
            </w:pPr>
            <w:r>
              <w:rPr>
                <w:rFonts w:ascii="Arial" w:cs="Arial" w:eastAsia="Arial" w:hAnsi="Arial"/>
                <w:sz w:val="14"/>
                <w:szCs w:val="14"/>
                <w:color w:val="auto"/>
                <w:w w:val="97"/>
              </w:rPr>
              <w:t>Approval, by a non-binding advisory vote, of the compensation of Martin</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2"/>
        </w:trPr>
        <w:tc>
          <w:tcPr>
            <w:tcW w:w="160" w:type="dxa"/>
            <w:vAlign w:val="bottom"/>
          </w:tcPr>
          <w:p>
            <w:pPr>
              <w:spacing w:after="0"/>
              <w:rPr>
                <w:sz w:val="15"/>
                <w:szCs w:val="15"/>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auto"/>
              </w:rPr>
              <w:t>Marietta Materials, Inc.’s named executive officers.</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96" w:lineRule="exact"/>
        <w:rPr>
          <w:sz w:val="20"/>
          <w:szCs w:val="20"/>
          <w:color w:val="auto"/>
        </w:rPr>
      </w:pPr>
    </w:p>
    <w:p>
      <w:pPr>
        <w:ind w:left="640" w:right="80" w:hanging="216"/>
        <w:spacing w:after="0" w:line="253" w:lineRule="auto"/>
        <w:tabs>
          <w:tab w:leader="none" w:pos="6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meeting, or any adjournments thereof.</w:t>
      </w:r>
    </w:p>
    <w:p>
      <w:pPr>
        <w:spacing w:after="0" w:line="93" w:lineRule="exact"/>
        <w:rPr>
          <w:sz w:val="20"/>
          <w:szCs w:val="20"/>
          <w:color w:val="auto"/>
        </w:rPr>
      </w:pPr>
    </w:p>
    <w:p>
      <w:pPr>
        <w:ind w:left="420" w:right="80"/>
        <w:spacing w:after="0" w:line="231" w:lineRule="auto"/>
        <w:rPr>
          <w:sz w:val="20"/>
          <w:szCs w:val="20"/>
          <w:color w:val="auto"/>
        </w:rPr>
      </w:pPr>
      <w:r>
        <w:rPr>
          <w:rFonts w:ascii="Arial" w:cs="Arial" w:eastAsia="Arial" w:hAnsi="Arial"/>
          <w:sz w:val="14"/>
          <w:szCs w:val="14"/>
          <w:color w:val="auto"/>
        </w:rPr>
        <w:t xml:space="preserve">This proxy is solicited by the Board of Directors of Martin Marietta Materials, Inc. and when properly executed will be voted as specified herein and, unless otherwise directed, will be voted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election of all nominees as Directors,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ratification of selection of Ernst &amp; Young LLP as independent auditors, and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approval, by a non-binding advisory vote, of the compensation of our named executive officers. The Board of Directors recommends voting </w:t>
      </w:r>
      <w:r>
        <w:rPr>
          <w:rFonts w:ascii="Arial" w:cs="Arial" w:eastAsia="Arial" w:hAnsi="Arial"/>
          <w:sz w:val="14"/>
          <w:szCs w:val="14"/>
          <w:b w:val="1"/>
          <w:bCs w:val="1"/>
          <w:color w:val="auto"/>
        </w:rPr>
        <w:t>FOR</w:t>
      </w:r>
      <w:r>
        <w:rPr>
          <w:rFonts w:ascii="Arial" w:cs="Arial" w:eastAsia="Arial" w:hAnsi="Arial"/>
          <w:sz w:val="14"/>
          <w:szCs w:val="14"/>
          <w:color w:val="auto"/>
        </w:rPr>
        <w:t xml:space="preserve"> each item.</w:t>
      </w:r>
    </w:p>
    <w:p>
      <w:pPr>
        <w:spacing w:after="0" w:line="103" w:lineRule="exact"/>
        <w:rPr>
          <w:sz w:val="20"/>
          <w:szCs w:val="20"/>
          <w:color w:val="auto"/>
        </w:rPr>
      </w:pPr>
    </w:p>
    <w:p>
      <w:pPr>
        <w:ind w:left="420" w:right="760"/>
        <w:spacing w:after="0" w:line="253" w:lineRule="auto"/>
        <w:rPr>
          <w:sz w:val="20"/>
          <w:szCs w:val="20"/>
          <w:color w:val="auto"/>
        </w:rPr>
      </w:pPr>
      <w:r>
        <w:rPr>
          <w:rFonts w:ascii="Arial" w:cs="Arial" w:eastAsia="Arial" w:hAnsi="Arial"/>
          <w:sz w:val="14"/>
          <w:szCs w:val="14"/>
          <w:color w:val="auto"/>
        </w:rPr>
        <w:t>Receipt of Notice of Annual Meeting of Shareholders and accompanying Proxy Statement is hereby acknowledged.</w:t>
      </w:r>
    </w:p>
    <w:p>
      <w:pPr>
        <w:spacing w:after="0" w:line="309"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85" w:lineRule="exact"/>
        <w:rPr>
          <w:sz w:val="20"/>
          <w:szCs w:val="20"/>
          <w:color w:val="auto"/>
        </w:rPr>
      </w:pPr>
    </w:p>
    <w:p>
      <w:pPr>
        <w:sectPr>
          <w:pgSz w:w="11900" w:h="16838" w:orient="portrait"/>
          <w:cols w:equalWidth="0" w:num="2">
            <w:col w:w="4300" w:space="200"/>
            <w:col w:w="6940"/>
          </w:cols>
          <w:pgMar w:left="240" w:top="265" w:right="21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Signature of Shareholder</w:t>
            </w:r>
          </w:p>
        </w:tc>
        <w:tc>
          <w:tcPr>
            <w:tcW w:w="2420" w:type="dxa"/>
            <w:vAlign w:val="bottom"/>
            <w:tcBorders>
              <w:top w:val="single" w:sz="8" w:color="auto"/>
              <w:bottom w:val="single" w:sz="8" w:color="auto"/>
              <w:right w:val="single" w:sz="8" w:color="auto"/>
            </w:tcBorders>
          </w:tcPr>
          <w:p>
            <w:pPr>
              <w:spacing w:after="0"/>
              <w:rPr>
                <w:sz w:val="19"/>
                <w:szCs w:val="19"/>
                <w:color w:val="auto"/>
              </w:rPr>
            </w:pPr>
          </w:p>
        </w:tc>
        <w:tc>
          <w:tcPr>
            <w:tcW w:w="4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Date:</w:t>
            </w:r>
          </w:p>
        </w:tc>
        <w:tc>
          <w:tcPr>
            <w:tcW w:w="1120" w:type="dxa"/>
            <w:vAlign w:val="bottom"/>
            <w:tcBorders>
              <w:top w:val="single" w:sz="8" w:color="auto"/>
              <w:bottom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Signature of Shareholder</w:t>
            </w:r>
          </w:p>
        </w:tc>
        <w:tc>
          <w:tcPr>
            <w:tcW w:w="2260" w:type="dxa"/>
            <w:vAlign w:val="bottom"/>
            <w:tcBorders>
              <w:top w:val="single" w:sz="8" w:color="auto"/>
              <w:bottom w:val="single" w:sz="8" w:color="auto"/>
              <w:right w:val="single" w:sz="8" w:color="auto"/>
            </w:tcBorders>
          </w:tcPr>
          <w:p>
            <w:pPr>
              <w:spacing w:after="0"/>
              <w:rPr>
                <w:sz w:val="19"/>
                <w:szCs w:val="19"/>
                <w:color w:val="auto"/>
              </w:rPr>
            </w:pPr>
          </w:p>
        </w:tc>
        <w:tc>
          <w:tcPr>
            <w:tcW w:w="4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5"/>
              </w:rPr>
              <w:t>Date:</w:t>
            </w:r>
          </w:p>
        </w:tc>
        <w:tc>
          <w:tcPr>
            <w:tcW w:w="8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11000" w:type="dxa"/>
            <w:vAlign w:val="bottom"/>
            <w:gridSpan w:val="8"/>
          </w:tcPr>
          <w:p>
            <w:pPr>
              <w:ind w:left="80"/>
              <w:spacing w:after="0"/>
              <w:rPr>
                <w:sz w:val="20"/>
                <w:szCs w:val="20"/>
                <w:color w:val="auto"/>
              </w:rPr>
            </w:pPr>
            <w:r>
              <w:rPr>
                <w:rFonts w:ascii="Arial" w:cs="Arial" w:eastAsia="Arial" w:hAnsi="Arial"/>
                <w:sz w:val="14"/>
                <w:szCs w:val="14"/>
                <w:b w:val="1"/>
                <w:bCs w:val="1"/>
                <w:color w:val="auto"/>
                <w:w w:val="93"/>
              </w:rPr>
              <w:t xml:space="preserve">Note:  </w:t>
            </w:r>
            <w:r>
              <w:rPr>
                <w:rFonts w:ascii="Arial" w:cs="Arial" w:eastAsia="Arial" w:hAnsi="Arial"/>
                <w:sz w:val="14"/>
                <w:szCs w:val="14"/>
                <w:color w:val="auto"/>
                <w:w w:val="93"/>
              </w:rPr>
              <w:t>Please sign exactly as your name or names appear on this Proxy. When shares are held jointly, each holder should sign. When signing as executor, administrator, attorney, trustee or</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1000" w:type="dxa"/>
            <w:vAlign w:val="bottom"/>
            <w:gridSpan w:val="8"/>
          </w:tcPr>
          <w:p>
            <w:pPr>
              <w:ind w:left="540"/>
              <w:spacing w:after="0" w:line="149" w:lineRule="exact"/>
              <w:rPr>
                <w:sz w:val="20"/>
                <w:szCs w:val="20"/>
                <w:color w:val="auto"/>
              </w:rPr>
            </w:pPr>
            <w:r>
              <w:rPr>
                <w:rFonts w:ascii="Arial" w:cs="Arial" w:eastAsia="Arial" w:hAnsi="Arial"/>
                <w:sz w:val="14"/>
                <w:szCs w:val="14"/>
                <w:color w:val="auto"/>
                <w:w w:val="96"/>
              </w:rPr>
              <w:t>guardian, please give full title as such. If the signer is a corporation, please sign full corporate name by duly authorized officer, giving full title as such. If signer is a partnership,</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180" w:type="dxa"/>
            <w:vAlign w:val="bottom"/>
            <w:vMerge w:val="continue"/>
          </w:tcPr>
          <w:p>
            <w:pPr>
              <w:spacing w:after="0"/>
              <w:rPr>
                <w:sz w:val="15"/>
                <w:szCs w:val="15"/>
                <w:color w:val="auto"/>
              </w:rPr>
            </w:pPr>
          </w:p>
        </w:tc>
        <w:tc>
          <w:tcPr>
            <w:tcW w:w="3980" w:type="dxa"/>
            <w:vAlign w:val="bottom"/>
            <w:gridSpan w:val="2"/>
          </w:tcPr>
          <w:p>
            <w:pPr>
              <w:ind w:left="540"/>
              <w:spacing w:after="0"/>
              <w:rPr>
                <w:sz w:val="20"/>
                <w:szCs w:val="20"/>
                <w:color w:val="auto"/>
              </w:rPr>
            </w:pPr>
            <w:r>
              <w:rPr>
                <w:rFonts w:ascii="Arial" w:cs="Arial" w:eastAsia="Arial" w:hAnsi="Arial"/>
                <w:sz w:val="14"/>
                <w:szCs w:val="14"/>
                <w:color w:val="auto"/>
              </w:rPr>
              <w:t>please sign in partnership name by authorized person.</w:t>
            </w: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65" w:right="219" w:bottom="1440" w:gutter="0" w:footer="0" w:header="0"/>
          <w:type w:val="continuous"/>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0160"/>
        <w:spacing w:after="0"/>
        <w:tabs>
          <w:tab w:leader="none" w:pos="11240" w:val="left"/>
        </w:tabs>
        <w:rPr>
          <w:sz w:val="20"/>
          <w:szCs w:val="20"/>
          <w:color w:val="auto"/>
        </w:rPr>
      </w:pPr>
      <w:r>
        <w:rPr>
          <w:rFonts w:ascii="Arial" w:cs="Arial" w:eastAsia="Arial" w:hAnsi="Arial"/>
          <w:sz w:val="18"/>
          <w:szCs w:val="18"/>
          <w:color w:val="auto"/>
        </w:rPr>
        <w:t>0</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MARTIN MARIETTA MATERIALS, INC.</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solicited by the Board of Directors for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Meeting to be held May 21, 2015</w:t>
      </w:r>
    </w:p>
    <w:p>
      <w:pPr>
        <w:spacing w:after="0" w:line="251" w:lineRule="exact"/>
        <w:rPr>
          <w:sz w:val="20"/>
          <w:szCs w:val="20"/>
          <w:color w:val="auto"/>
        </w:rPr>
      </w:pPr>
    </w:p>
    <w:p>
      <w:pPr>
        <w:ind w:left="260" w:right="220"/>
        <w:spacing w:after="0" w:line="286" w:lineRule="auto"/>
        <w:rPr>
          <w:sz w:val="20"/>
          <w:szCs w:val="20"/>
          <w:color w:val="auto"/>
        </w:rPr>
      </w:pPr>
      <w:r>
        <w:rPr>
          <w:rFonts w:ascii="Arial" w:cs="Arial" w:eastAsia="Arial" w:hAnsi="Arial"/>
          <w:sz w:val="17"/>
          <w:szCs w:val="17"/>
          <w:color w:val="auto"/>
        </w:rPr>
        <w:t>The undersigned hereby appoints C. Howard Nye and Anne H. Lloyd,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21, 2015, and at any adjournment thereof.</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240" w:val="left"/>
          <w:tab w:leader="none" w:pos="10680" w:val="left"/>
        </w:tabs>
        <w:rPr>
          <w:sz w:val="20"/>
          <w:szCs w:val="20"/>
          <w:color w:val="auto"/>
        </w:rPr>
      </w:pPr>
      <w:r>
        <w:rPr>
          <w:rFonts w:ascii="Arial" w:cs="Arial" w:eastAsia="Arial" w:hAnsi="Arial"/>
          <w:sz w:val="18"/>
          <w:szCs w:val="18"/>
          <w:color w:val="auto"/>
        </w:rPr>
        <w:t>¢</w:t>
        <w:tab/>
        <w:t>1.1</w:t>
      </w:r>
      <w:r>
        <w:rPr>
          <w:sz w:val="20"/>
          <w:szCs w:val="20"/>
          <w:color w:val="auto"/>
        </w:rPr>
        <w:tab/>
      </w:r>
      <w:r>
        <w:rPr>
          <w:rFonts w:ascii="Arial" w:cs="Arial" w:eastAsia="Arial" w:hAnsi="Arial"/>
          <w:sz w:val="16"/>
          <w:szCs w:val="16"/>
          <w:color w:val="auto"/>
        </w:rPr>
        <w:t>14475  ¢</w:t>
      </w:r>
    </w:p>
    <w:sectPr>
      <w:pgSz w:w="11900" w:h="16838" w:orient="portrait"/>
      <w:cols w:equalWidth="0" w:num="1">
        <w:col w:w="11340"/>
      </w:cols>
      <w:pgMar w:left="24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lvl w:ilvl="1">
      <w:lvlJc w:val="left"/>
      <w:lvlText w:val="(%2)"/>
      <w:numFmt w:val="decimal"/>
      <w:start w:val="1"/>
    </w:lvl>
  </w:abstractNum>
  <w:abstractNum w:abstractNumId="3">
    <w:nsid w:val="70A64E2A"/>
    <w:multiLevelType w:val="hybridMultilevel"/>
    <w:lvl w:ilvl="0">
      <w:lvlJc w:val="left"/>
      <w:lvlText w:val="(%1)"/>
      <w:numFmt w:val="decimal"/>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1"/>
      <w:numFmt w:val="bullet"/>
      <w:start w:val="1"/>
    </w:lvl>
  </w:abstractNum>
  <w:abstractNum w:abstractNumId="6">
    <w:nsid w:val="1D4ED43B"/>
    <w:multiLevelType w:val="hybridMultilevel"/>
    <w:lvl w:ilvl="0">
      <w:lvlJc w:val="left"/>
      <w:lvlText w:val="1"/>
      <w:numFmt w:val="bullet"/>
      <w:start w:val="1"/>
    </w:lvl>
  </w:abstractNum>
  <w:abstractNum w:abstractNumId="7">
    <w:nsid w:val="725A06FB"/>
    <w:multiLevelType w:val="hybridMultilevel"/>
    <w:lvl w:ilvl="0">
      <w:lvlJc w:val="left"/>
      <w:lvlText w:val="2"/>
      <w:numFmt w:val="bullet"/>
      <w:start w:val="1"/>
    </w:lvl>
  </w:abstractNum>
  <w:abstractNum w:abstractNumId="8">
    <w:nsid w:val="2CD89A32"/>
    <w:multiLevelType w:val="hybridMultilevel"/>
    <w:lvl w:ilvl="0">
      <w:lvlJc w:val="left"/>
      <w:lvlText w:val="3"/>
      <w:numFmt w:val="bullet"/>
      <w:start w:val="1"/>
    </w:lvl>
  </w:abstractNum>
  <w:abstractNum w:abstractNumId="9">
    <w:nsid w:val="57E4CCAF"/>
    <w:multiLevelType w:val="hybridMultilevel"/>
    <w:lvl w:ilvl="0">
      <w:lvlJc w:val="left"/>
      <w:lvlText w:val="4"/>
      <w:numFmt w:val="bullet"/>
      <w:start w:val="1"/>
    </w:lvl>
  </w:abstractNum>
  <w:abstractNum w:abstractNumId="10">
    <w:nsid w:val="7A6D8D3C"/>
    <w:multiLevelType w:val="hybridMultilevel"/>
    <w:lvl w:ilvl="0">
      <w:lvlJc w:val="left"/>
      <w:lvlText w:val="5"/>
      <w:numFmt w:val="bullet"/>
      <w:start w:val="1"/>
    </w:lvl>
  </w:abstractNum>
  <w:abstractNum w:abstractNumId="11">
    <w:nsid w:val="4B588F54"/>
    <w:multiLevelType w:val="hybridMultilevel"/>
    <w:lvl w:ilvl="0">
      <w:lvlJc w:val="left"/>
      <w:lvlText w:val="1"/>
      <w:numFmt w:val="bullet"/>
      <w:start w:val="1"/>
    </w:lvl>
  </w:abstractNum>
  <w:abstractNum w:abstractNumId="12">
    <w:nsid w:val="542289EC"/>
    <w:multiLevelType w:val="hybridMultilevel"/>
    <w:lvl w:ilvl="0">
      <w:lvlJc w:val="left"/>
      <w:lvlText w:val="2"/>
      <w:numFmt w:val="bullet"/>
      <w:start w:val="1"/>
    </w:lvl>
  </w:abstractNum>
  <w:abstractNum w:abstractNumId="13">
    <w:nsid w:val="6DE91B18"/>
    <w:multiLevelType w:val="hybridMultilevel"/>
    <w:lvl w:ilvl="0">
      <w:lvlJc w:val="left"/>
      <w:lvlText w:val="3"/>
      <w:numFmt w:val="bullet"/>
      <w:start w:val="1"/>
    </w:lvl>
  </w:abstractNum>
  <w:abstractNum w:abstractNumId="14">
    <w:nsid w:val="38437FDB"/>
    <w:multiLevelType w:val="hybridMultilevel"/>
    <w:lvl w:ilvl="0">
      <w:lvlJc w:val="left"/>
      <w:lvlText w:val="4"/>
      <w:numFmt w:val="bullet"/>
      <w:start w:val="1"/>
    </w:lvl>
  </w:abstractNum>
  <w:abstractNum w:abstractNumId="15">
    <w:nsid w:val="7644A45C"/>
    <w:multiLevelType w:val="hybridMultilevel"/>
    <w:lvl w:ilvl="0">
      <w:lvlJc w:val="left"/>
      <w:lvlText w:val="5"/>
      <w:numFmt w:val="bullet"/>
      <w:start w:val="1"/>
    </w:lvl>
  </w:abstractNum>
  <w:abstractNum w:abstractNumId="16">
    <w:nsid w:val="32FFF902"/>
    <w:multiLevelType w:val="hybridMultilevel"/>
    <w:lvl w:ilvl="0">
      <w:lvlJc w:val="left"/>
      <w:lvlText w:val="6"/>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lvl w:ilvl="1">
      <w:lvlJc w:val="left"/>
      <w:lvlText w:val="%2"/>
      <w:numFmt w:val="lowerRoman"/>
      <w:start w:val="1"/>
    </w:lvl>
  </w:abstractNum>
  <w:abstractNum w:abstractNumId="20">
    <w:nsid w:val="3DC240FB"/>
    <w:multiLevelType w:val="hybridMultilevel"/>
    <w:lvl w:ilvl="0">
      <w:lvlJc w:val="left"/>
      <w:lvlText w:val="•"/>
      <w:numFmt w:val="bullet"/>
      <w:start w:val="1"/>
    </w:lvl>
    <w:lvl w:ilvl="1">
      <w:lvlJc w:val="left"/>
      <w:lvlText w:val="v"/>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1)"/>
      <w:numFmt w:val="lowerRoman"/>
      <w:start w:val="6"/>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1"/>
      <w:numFmt w:val="bullet"/>
      <w:start w:val="1"/>
    </w:lvl>
  </w:abstractNum>
  <w:abstractNum w:abstractNumId="48">
    <w:nsid w:val="5FF87E05"/>
    <w:multiLevelType w:val="hybridMultilevel"/>
    <w:lvl w:ilvl="0">
      <w:lvlJc w:val="left"/>
      <w:lvlText w:val="2"/>
      <w:numFmt w:val="bullet"/>
      <w:start w:val="1"/>
    </w:lvl>
  </w:abstractNum>
  <w:abstractNum w:abstractNumId="49">
    <w:nsid w:val="2F305DEF"/>
    <w:multiLevelType w:val="hybridMultilevel"/>
    <w:lvl w:ilvl="0">
      <w:lvlJc w:val="left"/>
      <w:lvlText w:val="3"/>
      <w:numFmt w:val="bullet"/>
      <w:start w:val="1"/>
    </w:lvl>
  </w:abstractNum>
  <w:abstractNum w:abstractNumId="50">
    <w:nsid w:val="25A70BF7"/>
    <w:multiLevelType w:val="hybridMultilevel"/>
    <w:lvl w:ilvl="0">
      <w:lvlJc w:val="left"/>
      <w:lvlText w:val="4"/>
      <w:numFmt w:val="bullet"/>
      <w:start w:val="1"/>
    </w:lvl>
  </w:abstractNum>
  <w:abstractNum w:abstractNumId="51">
    <w:nsid w:val="1DBABF00"/>
    <w:multiLevelType w:val="hybridMultilevel"/>
    <w:lvl w:ilvl="0">
      <w:lvlJc w:val="left"/>
      <w:lvlText w:val="5"/>
      <w:numFmt w:val="bullet"/>
      <w:start w:val="1"/>
    </w:lvl>
  </w:abstractNum>
  <w:abstractNum w:abstractNumId="52">
    <w:nsid w:val="4AD084E9"/>
    <w:multiLevelType w:val="hybridMultilevel"/>
    <w:lvl w:ilvl="0">
      <w:lvlJc w:val="left"/>
      <w:lvlText w:val="6"/>
      <w:numFmt w:val="bullet"/>
      <w:start w:val="1"/>
    </w:lvl>
  </w:abstractNum>
  <w:abstractNum w:abstractNumId="53">
    <w:nsid w:val="1F48EAA1"/>
    <w:multiLevelType w:val="hybridMultilevel"/>
    <w:lvl w:ilvl="0">
      <w:lvlJc w:val="left"/>
      <w:lvlText w:val="(%1)"/>
      <w:numFmt w:val="lowerRoman"/>
      <w:start w:val="1"/>
    </w:lvl>
  </w:abstractNum>
  <w:abstractNum w:abstractNumId="54">
    <w:nsid w:val="1381823A"/>
    <w:multiLevelType w:val="hybridMultilevel"/>
    <w:lvl w:ilvl="0">
      <w:lvlJc w:val="left"/>
      <w:lvlText w:val="1"/>
      <w:numFmt w:val="bullet"/>
      <w:start w:val="1"/>
    </w:lvl>
  </w:abstractNum>
  <w:abstractNum w:abstractNumId="55">
    <w:nsid w:val="5DB70AE5"/>
    <w:multiLevelType w:val="hybridMultilevel"/>
    <w:lvl w:ilvl="0">
      <w:lvlJc w:val="left"/>
      <w:lvlText w:val="2"/>
      <w:numFmt w:val="bullet"/>
      <w:start w:val="1"/>
    </w:lvl>
  </w:abstractNum>
  <w:abstractNum w:abstractNumId="56">
    <w:nsid w:val="100F8FCA"/>
    <w:multiLevelType w:val="hybridMultilevel"/>
    <w:lvl w:ilvl="0">
      <w:lvlJc w:val="left"/>
      <w:lvlText w:val="3"/>
      <w:numFmt w:val="bullet"/>
      <w:start w:val="1"/>
    </w:lvl>
  </w:abstractNum>
  <w:abstractNum w:abstractNumId="57">
    <w:nsid w:val="6590700B"/>
    <w:multiLevelType w:val="hybridMultilevel"/>
    <w:lvl w:ilvl="0">
      <w:lvlJc w:val="left"/>
      <w:lvlText w:val="4"/>
      <w:numFmt w:val="bullet"/>
      <w:start w:val="1"/>
    </w:lvl>
  </w:abstractNum>
  <w:abstractNum w:abstractNumId="58">
    <w:nsid w:val="15014ACB"/>
    <w:multiLevelType w:val="hybridMultilevel"/>
    <w:lvl w:ilvl="0">
      <w:lvlJc w:val="left"/>
      <w:lvlText w:val="5"/>
      <w:numFmt w:val="bullet"/>
      <w:start w:val="1"/>
    </w:lvl>
  </w:abstractNum>
  <w:abstractNum w:abstractNumId="59">
    <w:nsid w:val="5F5E7FD0"/>
    <w:multiLevelType w:val="hybridMultilevel"/>
    <w:lvl w:ilvl="0">
      <w:lvlJc w:val="left"/>
      <w:lvlText w:val="6"/>
      <w:numFmt w:val="bullet"/>
      <w:start w:val="1"/>
    </w:lvl>
  </w:abstractNum>
  <w:abstractNum w:abstractNumId="60">
    <w:nsid w:val="98A3148"/>
    <w:multiLevelType w:val="hybridMultilevel"/>
    <w:lvl w:ilvl="0">
      <w:lvlJc w:val="left"/>
      <w:lvlText w:val="7"/>
      <w:numFmt w:val="bullet"/>
      <w:start w:val="1"/>
    </w:lvl>
  </w:abstractNum>
  <w:abstractNum w:abstractNumId="61">
    <w:nsid w:val="799D0247"/>
    <w:multiLevelType w:val="hybridMultilevel"/>
    <w:lvl w:ilvl="0">
      <w:lvlJc w:val="left"/>
      <w:lvlText w:val="1"/>
      <w:numFmt w:val="bullet"/>
      <w:start w:val="1"/>
    </w:lvl>
  </w:abstractNum>
  <w:abstractNum w:abstractNumId="62">
    <w:nsid w:val="6B94764"/>
    <w:multiLevelType w:val="hybridMultilevel"/>
    <w:lvl w:ilvl="0">
      <w:lvlJc w:val="left"/>
      <w:lvlText w:val="2"/>
      <w:numFmt w:val="bullet"/>
      <w:start w:val="1"/>
    </w:lvl>
  </w:abstractNum>
  <w:abstractNum w:abstractNumId="63">
    <w:nsid w:val="42C296BD"/>
    <w:multiLevelType w:val="hybridMultilevel"/>
    <w:lvl w:ilvl="0">
      <w:lvlJc w:val="left"/>
      <w:lvlText w:val="%1"/>
      <w:numFmt w:val="decimal"/>
      <w:start w:val="10"/>
    </w:lvl>
  </w:abstractNum>
  <w:abstractNum w:abstractNumId="64">
    <w:nsid w:val="168E121F"/>
    <w:multiLevelType w:val="hybridMultilevel"/>
    <w:lvl w:ilvl="0">
      <w:lvlJc w:val="left"/>
      <w:lvlText w:val="1"/>
      <w:numFmt w:val="bullet"/>
      <w:start w:val="1"/>
    </w:lvl>
  </w:abstractNum>
  <w:abstractNum w:abstractNumId="65">
    <w:nsid w:val="1EBA5D23"/>
    <w:multiLevelType w:val="hybridMultilevel"/>
    <w:lvl w:ilvl="0">
      <w:lvlJc w:val="left"/>
      <w:lvlText w:val="(%1)"/>
      <w:numFmt w:val="upperLetter"/>
      <w:start w:val="1"/>
    </w:lvl>
  </w:abstractNum>
  <w:abstractNum w:abstractNumId="66">
    <w:nsid w:val="661E3F1E"/>
    <w:multiLevelType w:val="hybridMultilevel"/>
    <w:lvl w:ilvl="0">
      <w:lvlJc w:val="left"/>
      <w:lvlText w:val="1"/>
      <w:numFmt w:val="bullet"/>
      <w:start w:val="1"/>
    </w:lvl>
  </w:abstractNum>
  <w:abstractNum w:abstractNumId="67">
    <w:nsid w:val="5DC79EA8"/>
    <w:multiLevelType w:val="hybridMultilevel"/>
    <w:lvl w:ilvl="0">
      <w:lvlJc w:val="left"/>
      <w:lvlText w:val="2"/>
      <w:numFmt w:val="bullet"/>
      <w:start w:val="1"/>
    </w:lvl>
  </w:abstractNum>
  <w:abstractNum w:abstractNumId="68">
    <w:nsid w:val="540A471C"/>
    <w:multiLevelType w:val="hybridMultilevel"/>
    <w:lvl w:ilvl="0">
      <w:lvlJc w:val="left"/>
      <w:lvlText w:val="3"/>
      <w:numFmt w:val="bullet"/>
      <w:start w:val="1"/>
    </w:lvl>
  </w:abstractNum>
  <w:abstractNum w:abstractNumId="69">
    <w:nsid w:val="7BD3EE7B"/>
    <w:multiLevelType w:val="hybridMultilevel"/>
    <w:lvl w:ilvl="0">
      <w:lvlJc w:val="left"/>
      <w:lvlText w:val="7"/>
      <w:numFmt w:val="bullet"/>
      <w:start w:val="1"/>
    </w:lvl>
  </w:abstractNum>
  <w:abstractNum w:abstractNumId="70">
    <w:nsid w:val="51D9C564"/>
    <w:multiLevelType w:val="hybridMultilevel"/>
    <w:lvl w:ilvl="0">
      <w:lvlJc w:val="left"/>
      <w:lvlText w:val="8"/>
      <w:numFmt w:val="bullet"/>
      <w:start w:val="1"/>
    </w:lvl>
  </w:abstractNum>
  <w:abstractNum w:abstractNumId="71">
    <w:nsid w:val="613EFDC5"/>
    <w:multiLevelType w:val="hybridMultilevel"/>
    <w:lvl w:ilvl="0">
      <w:lvlJc w:val="left"/>
      <w:lvlText w:val="9"/>
      <w:numFmt w:val="bullet"/>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bullet"/>
      <w:start w:val="1"/>
    </w:lvl>
  </w:abstractNum>
  <w:abstractNum w:abstractNumId="74">
    <w:nsid w:val="42963E5A"/>
    <w:multiLevelType w:val="hybridMultilevel"/>
    <w:lvl w:ilvl="0">
      <w:lvlJc w:val="left"/>
      <w:lvlText w:val="2"/>
      <w:numFmt w:val="bullet"/>
      <w:start w:val="1"/>
    </w:lvl>
  </w:abstractNum>
  <w:abstractNum w:abstractNumId="75">
    <w:nsid w:val="A0382C5"/>
    <w:multiLevelType w:val="hybridMultilevel"/>
    <w:lvl w:ilvl="0">
      <w:lvlJc w:val="left"/>
      <w:lvlText w:val="3"/>
      <w:numFmt w:val="bullet"/>
      <w:start w:val="1"/>
    </w:lvl>
  </w:abstractNum>
  <w:abstractNum w:abstractNumId="76">
    <w:nsid w:val="8F2B15E"/>
    <w:multiLevelType w:val="hybridMultilevel"/>
    <w:lvl w:ilvl="0">
      <w:lvlJc w:val="left"/>
      <w:lvlText w:val="4"/>
      <w:numFmt w:val="bullet"/>
      <w:start w:val="1"/>
    </w:lvl>
  </w:abstractNum>
  <w:abstractNum w:abstractNumId="77">
    <w:nsid w:val="1A32234B"/>
    <w:multiLevelType w:val="hybridMultilevel"/>
    <w:lvl w:ilvl="0">
      <w:lvlJc w:val="left"/>
      <w:lvlText w:val="5"/>
      <w:numFmt w:val="bullet"/>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2019-12-06T10:38:12Z</dcterms:created>
  <dcterms:modified xsi:type="dcterms:W3CDTF">2019-12-06T10:38:12Z</dcterms:modified>
</cp:coreProperties>
</file>